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7E90A8DC" w:rsidR="00A160B2" w:rsidRDefault="00F32687" w:rsidP="006C3150">
            <w:pPr>
              <w:pStyle w:val="Infotext"/>
              <w:rPr>
                <w:rFonts w:cs="Arial"/>
              </w:rPr>
            </w:pPr>
            <w:r>
              <w:rPr>
                <w:rFonts w:cs="Arial"/>
              </w:rPr>
              <w:t>6 October</w:t>
            </w:r>
            <w:r w:rsidR="00A5339D">
              <w:rPr>
                <w:rFonts w:cs="Arial"/>
              </w:rPr>
              <w:t xml:space="preserve"> 2022</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6F650AD2" w14:textId="77777777" w:rsidR="00A160B2" w:rsidRDefault="0075166A" w:rsidP="00CE4DD2">
            <w:pPr>
              <w:pStyle w:val="Infotext"/>
              <w:rPr>
                <w:rFonts w:cs="Arial"/>
              </w:rPr>
            </w:pPr>
            <w:r>
              <w:rPr>
                <w:rFonts w:cs="Arial"/>
              </w:rPr>
              <w:t>Review of Pension Fund Committee Items</w:t>
            </w:r>
          </w:p>
          <w:p w14:paraId="5914456E" w14:textId="44F112A5" w:rsidR="00B437CB" w:rsidRDefault="00B437CB" w:rsidP="00CE4DD2">
            <w:pPr>
              <w:pStyle w:val="Infotext"/>
              <w:rPr>
                <w:rFonts w:cs="Arial"/>
              </w:rPr>
            </w:pP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17D6F0A5" w14:textId="77777777" w:rsidR="00A160B2" w:rsidRDefault="00CE4DD2" w:rsidP="00CE4DD2">
            <w:pPr>
              <w:pStyle w:val="Infotext"/>
              <w:rPr>
                <w:rFonts w:cs="Arial"/>
              </w:rPr>
            </w:pPr>
            <w:r>
              <w:rPr>
                <w:rFonts w:cs="Arial"/>
              </w:rPr>
              <w:t>Dawn Calvert – Director of Finance and Assurance</w:t>
            </w:r>
          </w:p>
          <w:p w14:paraId="3CF266C9" w14:textId="125D140D" w:rsidR="00B437CB" w:rsidRDefault="00B437CB"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74FCEEEF" w14:textId="7A5F4A6F" w:rsidR="00110A2F" w:rsidRPr="00E56213" w:rsidRDefault="00A5339D" w:rsidP="00110A2F">
            <w:pPr>
              <w:jc w:val="both"/>
              <w:rPr>
                <w:rFonts w:cs="Arial"/>
                <w:sz w:val="28"/>
                <w:szCs w:val="28"/>
              </w:rPr>
            </w:pPr>
            <w:r>
              <w:rPr>
                <w:rFonts w:cs="Arial"/>
                <w:sz w:val="28"/>
                <w:szCs w:val="28"/>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24B98948" w:rsidR="00A160B2" w:rsidRPr="00B437CB" w:rsidRDefault="004B5D7B" w:rsidP="006C3150">
            <w:pPr>
              <w:pStyle w:val="Infotext"/>
              <w:rPr>
                <w:bCs/>
              </w:rPr>
            </w:pPr>
            <w:r w:rsidRPr="00B437CB">
              <w:rPr>
                <w:bCs/>
              </w:rPr>
              <w:t>Not applicable</w:t>
            </w:r>
          </w:p>
        </w:tc>
      </w:tr>
      <w:tr w:rsidR="00A160B2" w14:paraId="7C35C184" w14:textId="77777777" w:rsidTr="00A360D6">
        <w:tc>
          <w:tcPr>
            <w:tcW w:w="3397"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23A58528" w14:textId="72B401E6" w:rsidR="00A160B2" w:rsidRDefault="00933709" w:rsidP="006C3150">
            <w:pPr>
              <w:pStyle w:val="Infotext"/>
            </w:pPr>
            <w:r>
              <w:t xml:space="preserve">Appendix 1 – Pension Fund Valuation at 31 </w:t>
            </w:r>
            <w:r w:rsidR="00F32687">
              <w:t>July</w:t>
            </w:r>
            <w:r w:rsidR="00AB54A5">
              <w:t xml:space="preserve"> 2022</w:t>
            </w:r>
          </w:p>
          <w:p w14:paraId="4C232B02" w14:textId="68A8B197" w:rsidR="0049221F" w:rsidRDefault="0049221F" w:rsidP="00A5339D">
            <w:pPr>
              <w:pStyle w:val="Infotext"/>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3AE58E1E" w14:textId="0772F37F" w:rsidR="0075166A" w:rsidRPr="008658CB" w:rsidRDefault="0075166A" w:rsidP="0075166A">
            <w:r w:rsidRPr="008658CB">
              <w:t xml:space="preserve">This </w:t>
            </w:r>
            <w:r w:rsidRPr="00A154D4">
              <w:t xml:space="preserve">report </w:t>
            </w:r>
            <w:r>
              <w:t>summarises</w:t>
            </w:r>
            <w:r w:rsidRPr="00A154D4">
              <w:t xml:space="preserve"> the matters </w:t>
            </w:r>
            <w:r w:rsidR="00C40270">
              <w:t xml:space="preserve">to be </w:t>
            </w:r>
            <w:r w:rsidRPr="00A154D4">
              <w:t xml:space="preserve">considered by the Pension Fund Committee at </w:t>
            </w:r>
            <w:r>
              <w:t xml:space="preserve">its </w:t>
            </w:r>
            <w:r w:rsidR="00A5339D">
              <w:t>next</w:t>
            </w:r>
            <w:r w:rsidRPr="00A154D4">
              <w:t xml:space="preserve"> meeting on </w:t>
            </w:r>
            <w:r w:rsidR="00C40270">
              <w:t>13 October</w:t>
            </w:r>
            <w:r w:rsidR="00A5339D">
              <w:t xml:space="preserve"> </w:t>
            </w:r>
            <w:r>
              <w:t>202</w:t>
            </w:r>
            <w:r w:rsidR="00A5339D">
              <w:t>2</w:t>
            </w:r>
            <w:r w:rsidR="00ED1007">
              <w:t xml:space="preserve"> and </w:t>
            </w:r>
            <w:r w:rsidRPr="00A154D4">
              <w:t xml:space="preserve">invites the Board to agree any comments </w:t>
            </w:r>
            <w:r>
              <w:t>they</w:t>
            </w:r>
            <w:r w:rsidRPr="00A154D4">
              <w:t xml:space="preserve"> might wish to make to</w:t>
            </w:r>
            <w:r>
              <w:t xml:space="preserve"> the Pension Fund Committee.</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3E883939" w:rsidR="00A160B2" w:rsidRDefault="0075166A" w:rsidP="00A160B2">
            <w:r>
              <w:t xml:space="preserve">The </w:t>
            </w:r>
            <w:r>
              <w:rPr>
                <w:rFonts w:cs="Arial"/>
                <w:szCs w:val="24"/>
              </w:rPr>
              <w:t>Board</w:t>
            </w:r>
            <w:r w:rsidRPr="0076456E">
              <w:rPr>
                <w:rFonts w:cs="Arial"/>
                <w:szCs w:val="24"/>
              </w:rPr>
              <w:t xml:space="preserve"> </w:t>
            </w:r>
            <w:r>
              <w:rPr>
                <w:rFonts w:cs="Arial"/>
                <w:szCs w:val="24"/>
              </w:rPr>
              <w:t>is requested to note the report and comment as necessary</w:t>
            </w:r>
            <w:r w:rsidR="00A360D6" w:rsidRPr="002D3381">
              <w:rPr>
                <w:szCs w:val="24"/>
              </w:rPr>
              <w:t>.</w:t>
            </w:r>
          </w:p>
        </w:tc>
      </w:tr>
    </w:tbl>
    <w:p w14:paraId="53DC7DE2" w14:textId="77777777" w:rsidR="002A2389" w:rsidRDefault="002A2389" w:rsidP="00A160B2">
      <w:pPr>
        <w:pStyle w:val="Heading2"/>
      </w:pPr>
      <w:r>
        <w:t>Section 2 – Report</w:t>
      </w:r>
    </w:p>
    <w:p w14:paraId="56C3663E" w14:textId="35CCA8C2" w:rsidR="00C40270" w:rsidRDefault="00C40270" w:rsidP="0075166A">
      <w:pPr>
        <w:numPr>
          <w:ilvl w:val="0"/>
          <w:numId w:val="16"/>
        </w:numPr>
        <w:jc w:val="both"/>
      </w:pPr>
      <w:r>
        <w:t>The Pension Fund Committee meeting was originally scheduled for 19</w:t>
      </w:r>
      <w:r w:rsidRPr="00C40270">
        <w:rPr>
          <w:vertAlign w:val="superscript"/>
        </w:rPr>
        <w:t>th</w:t>
      </w:r>
      <w:r>
        <w:t xml:space="preserve"> September 2022. This inevitably had to be rearranged because the funeral of Queen Elizabeth II was held on that date. The meeting will now take place on Wednesday 12</w:t>
      </w:r>
      <w:r w:rsidRPr="00C40270">
        <w:rPr>
          <w:vertAlign w:val="superscript"/>
        </w:rPr>
        <w:t>th</w:t>
      </w:r>
      <w:r>
        <w:t xml:space="preserve"> October 2022 at 3.30pm. The reason for the unusual time is simply the volume of meetings which have had to be re-arranged as they were cancelled during the period of National Mourning from 8</w:t>
      </w:r>
      <w:r w:rsidRPr="00C40270">
        <w:rPr>
          <w:vertAlign w:val="superscript"/>
        </w:rPr>
        <w:t>th</w:t>
      </w:r>
      <w:r>
        <w:t xml:space="preserve"> to 20</w:t>
      </w:r>
      <w:r w:rsidRPr="00C40270">
        <w:rPr>
          <w:vertAlign w:val="superscript"/>
        </w:rPr>
        <w:t>th</w:t>
      </w:r>
      <w:r>
        <w:t xml:space="preserve"> September, and there will be another meeting on that evening.  </w:t>
      </w:r>
    </w:p>
    <w:p w14:paraId="5784292B" w14:textId="77777777" w:rsidR="00C40270" w:rsidRDefault="00C40270" w:rsidP="00C40270">
      <w:pPr>
        <w:ind w:left="720"/>
        <w:jc w:val="both"/>
      </w:pPr>
    </w:p>
    <w:p w14:paraId="02AFEE99" w14:textId="1C128A07" w:rsidR="0075166A" w:rsidRPr="00ED1007" w:rsidRDefault="00ED1007" w:rsidP="0075166A">
      <w:pPr>
        <w:numPr>
          <w:ilvl w:val="0"/>
          <w:numId w:val="16"/>
        </w:numPr>
        <w:jc w:val="both"/>
      </w:pPr>
      <w:r>
        <w:t>A</w:t>
      </w:r>
      <w:r w:rsidR="0075166A" w:rsidRPr="00ED1007">
        <w:rPr>
          <w:bCs/>
          <w:szCs w:val="24"/>
        </w:rPr>
        <w:t xml:space="preserve">t its meeting on </w:t>
      </w:r>
      <w:r w:rsidR="00C40270">
        <w:rPr>
          <w:bCs/>
          <w:szCs w:val="24"/>
        </w:rPr>
        <w:t>13</w:t>
      </w:r>
      <w:r w:rsidR="00C40270" w:rsidRPr="00C40270">
        <w:rPr>
          <w:bCs/>
          <w:szCs w:val="24"/>
          <w:vertAlign w:val="superscript"/>
        </w:rPr>
        <w:t>th</w:t>
      </w:r>
      <w:r w:rsidR="00C40270">
        <w:rPr>
          <w:bCs/>
          <w:szCs w:val="24"/>
        </w:rPr>
        <w:t xml:space="preserve"> October</w:t>
      </w:r>
      <w:r w:rsidR="00A5339D" w:rsidRPr="00ED1007">
        <w:rPr>
          <w:bCs/>
          <w:szCs w:val="24"/>
        </w:rPr>
        <w:t xml:space="preserve"> 2022 </w:t>
      </w:r>
      <w:r>
        <w:rPr>
          <w:bCs/>
          <w:szCs w:val="24"/>
        </w:rPr>
        <w:t xml:space="preserve">the Committee </w:t>
      </w:r>
      <w:r w:rsidR="00C40270">
        <w:rPr>
          <w:bCs/>
          <w:szCs w:val="24"/>
        </w:rPr>
        <w:t>will consider</w:t>
      </w:r>
      <w:r>
        <w:rPr>
          <w:bCs/>
          <w:szCs w:val="24"/>
        </w:rPr>
        <w:t xml:space="preserve"> the following items</w:t>
      </w:r>
    </w:p>
    <w:p w14:paraId="32610839" w14:textId="77777777" w:rsidR="0075166A" w:rsidRPr="00ED1007" w:rsidRDefault="0075166A" w:rsidP="0075166A">
      <w:pPr>
        <w:ind w:left="720"/>
        <w:rPr>
          <w:bCs/>
          <w:szCs w:val="24"/>
        </w:rPr>
      </w:pPr>
    </w:p>
    <w:p w14:paraId="4F8545BB" w14:textId="77777777" w:rsidR="0075166A" w:rsidRPr="00AF03DC" w:rsidRDefault="0075166A" w:rsidP="0075166A">
      <w:pPr>
        <w:ind w:left="720"/>
        <w:rPr>
          <w:bCs/>
          <w:szCs w:val="24"/>
          <w:highlight w:val="yellow"/>
        </w:rPr>
      </w:pPr>
    </w:p>
    <w:tbl>
      <w:tblPr>
        <w:tblStyle w:val="TableGrid"/>
        <w:tblW w:w="0" w:type="auto"/>
        <w:tblInd w:w="720" w:type="dxa"/>
        <w:tblLook w:val="04A0" w:firstRow="1" w:lastRow="0" w:firstColumn="1" w:lastColumn="0" w:noHBand="0" w:noVBand="1"/>
      </w:tblPr>
      <w:tblGrid>
        <w:gridCol w:w="2961"/>
        <w:gridCol w:w="4618"/>
      </w:tblGrid>
      <w:tr w:rsidR="0075166A" w:rsidRPr="00ED1007" w14:paraId="41499451" w14:textId="77777777" w:rsidTr="00ED1007">
        <w:tc>
          <w:tcPr>
            <w:tcW w:w="2961" w:type="dxa"/>
            <w:shd w:val="clear" w:color="auto" w:fill="auto"/>
          </w:tcPr>
          <w:p w14:paraId="46D0EB4E" w14:textId="77777777" w:rsidR="0075166A" w:rsidRPr="00ED1007" w:rsidRDefault="0075166A" w:rsidP="00FC33FC">
            <w:pPr>
              <w:rPr>
                <w:b/>
                <w:szCs w:val="24"/>
              </w:rPr>
            </w:pPr>
            <w:r w:rsidRPr="00ED1007">
              <w:rPr>
                <w:b/>
                <w:szCs w:val="24"/>
              </w:rPr>
              <w:t>Report</w:t>
            </w:r>
          </w:p>
        </w:tc>
        <w:tc>
          <w:tcPr>
            <w:tcW w:w="4618" w:type="dxa"/>
            <w:shd w:val="clear" w:color="auto" w:fill="auto"/>
          </w:tcPr>
          <w:p w14:paraId="57DFD70B" w14:textId="77777777" w:rsidR="0075166A" w:rsidRPr="00ED1007" w:rsidRDefault="0075166A" w:rsidP="00FC33FC">
            <w:pPr>
              <w:rPr>
                <w:b/>
                <w:szCs w:val="24"/>
              </w:rPr>
            </w:pPr>
            <w:r w:rsidRPr="00ED1007">
              <w:rPr>
                <w:b/>
                <w:szCs w:val="24"/>
              </w:rPr>
              <w:t>Comments</w:t>
            </w:r>
          </w:p>
        </w:tc>
      </w:tr>
      <w:tr w:rsidR="0075166A" w:rsidRPr="00ED1007" w14:paraId="25073024" w14:textId="77777777" w:rsidTr="00ED1007">
        <w:tc>
          <w:tcPr>
            <w:tcW w:w="2961" w:type="dxa"/>
            <w:shd w:val="clear" w:color="auto" w:fill="auto"/>
          </w:tcPr>
          <w:p w14:paraId="3ECBC0AA" w14:textId="77777777" w:rsidR="0075166A" w:rsidRPr="00ED1007" w:rsidRDefault="0075166A" w:rsidP="00FC33FC">
            <w:pPr>
              <w:rPr>
                <w:b/>
                <w:szCs w:val="24"/>
              </w:rPr>
            </w:pPr>
            <w:r w:rsidRPr="00ED1007">
              <w:rPr>
                <w:b/>
                <w:szCs w:val="24"/>
              </w:rPr>
              <w:t>Part I</w:t>
            </w:r>
          </w:p>
        </w:tc>
        <w:tc>
          <w:tcPr>
            <w:tcW w:w="4618" w:type="dxa"/>
            <w:shd w:val="clear" w:color="auto" w:fill="auto"/>
          </w:tcPr>
          <w:p w14:paraId="29AB2069" w14:textId="77777777" w:rsidR="0075166A" w:rsidRPr="00ED1007" w:rsidRDefault="0075166A" w:rsidP="00FC33FC">
            <w:pPr>
              <w:rPr>
                <w:bCs/>
                <w:szCs w:val="24"/>
              </w:rPr>
            </w:pPr>
          </w:p>
        </w:tc>
      </w:tr>
      <w:tr w:rsidR="0075166A" w:rsidRPr="00ED1007" w14:paraId="16044C78" w14:textId="77777777" w:rsidTr="00FC33FC">
        <w:tc>
          <w:tcPr>
            <w:tcW w:w="2961" w:type="dxa"/>
          </w:tcPr>
          <w:p w14:paraId="360DDD1A" w14:textId="77777777" w:rsidR="0075166A" w:rsidRPr="00ED1007" w:rsidRDefault="0075166A" w:rsidP="00FC33FC">
            <w:pPr>
              <w:rPr>
                <w:bCs/>
                <w:szCs w:val="24"/>
              </w:rPr>
            </w:pPr>
            <w:r w:rsidRPr="00ED1007">
              <w:t>Performance Dashboard and Update on Regular items</w:t>
            </w:r>
          </w:p>
        </w:tc>
        <w:tc>
          <w:tcPr>
            <w:tcW w:w="4618" w:type="dxa"/>
          </w:tcPr>
          <w:p w14:paraId="79AA2BAF" w14:textId="7BDE43B5" w:rsidR="0075166A" w:rsidRPr="00ED1007" w:rsidRDefault="004B5D7B" w:rsidP="00FC33FC">
            <w:pPr>
              <w:rPr>
                <w:bCs/>
                <w:szCs w:val="24"/>
              </w:rPr>
            </w:pPr>
            <w:r w:rsidRPr="00ED1007">
              <w:rPr>
                <w:bCs/>
                <w:szCs w:val="24"/>
              </w:rPr>
              <w:t>The Committee</w:t>
            </w:r>
            <w:r w:rsidR="00A5339D" w:rsidRPr="00ED1007">
              <w:rPr>
                <w:bCs/>
                <w:szCs w:val="24"/>
              </w:rPr>
              <w:t xml:space="preserve"> </w:t>
            </w:r>
            <w:r w:rsidR="00C40270">
              <w:rPr>
                <w:bCs/>
                <w:szCs w:val="24"/>
              </w:rPr>
              <w:t xml:space="preserve">will review </w:t>
            </w:r>
            <w:r w:rsidR="0075166A" w:rsidRPr="00ED1007">
              <w:rPr>
                <w:bCs/>
                <w:szCs w:val="24"/>
              </w:rPr>
              <w:t xml:space="preserve">the position of the Fund at </w:t>
            </w:r>
            <w:r w:rsidR="00F1403C" w:rsidRPr="00ED1007">
              <w:rPr>
                <w:bCs/>
                <w:szCs w:val="24"/>
              </w:rPr>
              <w:t>the end of Q</w:t>
            </w:r>
            <w:r w:rsidR="00C40270">
              <w:rPr>
                <w:bCs/>
                <w:szCs w:val="24"/>
              </w:rPr>
              <w:t>2</w:t>
            </w:r>
            <w:r w:rsidR="00F1403C" w:rsidRPr="00ED1007">
              <w:rPr>
                <w:bCs/>
                <w:szCs w:val="24"/>
              </w:rPr>
              <w:t xml:space="preserve"> 202</w:t>
            </w:r>
            <w:r w:rsidR="00C40270">
              <w:rPr>
                <w:bCs/>
                <w:szCs w:val="24"/>
              </w:rPr>
              <w:t>2</w:t>
            </w:r>
            <w:r w:rsidR="00F1403C" w:rsidRPr="00ED1007">
              <w:rPr>
                <w:bCs/>
                <w:szCs w:val="24"/>
              </w:rPr>
              <w:t xml:space="preserve"> (</w:t>
            </w:r>
            <w:r w:rsidR="002A5BDC" w:rsidRPr="00ED1007">
              <w:rPr>
                <w:bCs/>
                <w:szCs w:val="24"/>
              </w:rPr>
              <w:t>3</w:t>
            </w:r>
            <w:r w:rsidR="00C40270">
              <w:rPr>
                <w:bCs/>
                <w:szCs w:val="24"/>
              </w:rPr>
              <w:t>0</w:t>
            </w:r>
            <w:r w:rsidR="002A5BDC" w:rsidRPr="00ED1007">
              <w:rPr>
                <w:bCs/>
                <w:szCs w:val="24"/>
              </w:rPr>
              <w:t xml:space="preserve"> </w:t>
            </w:r>
            <w:r w:rsidR="00C40270">
              <w:rPr>
                <w:bCs/>
                <w:szCs w:val="24"/>
              </w:rPr>
              <w:t>June 2022</w:t>
            </w:r>
            <w:r w:rsidR="00F1403C" w:rsidRPr="00ED1007">
              <w:rPr>
                <w:bCs/>
                <w:szCs w:val="24"/>
              </w:rPr>
              <w:t>)</w:t>
            </w:r>
            <w:r w:rsidR="003706EA">
              <w:rPr>
                <w:bCs/>
                <w:szCs w:val="24"/>
              </w:rPr>
              <w:t>, receive an update on things which have happened in the next quarter</w:t>
            </w:r>
            <w:r w:rsidR="00F1403C" w:rsidRPr="00ED1007">
              <w:rPr>
                <w:bCs/>
                <w:szCs w:val="24"/>
              </w:rPr>
              <w:t xml:space="preserve"> </w:t>
            </w:r>
            <w:r w:rsidR="0075166A" w:rsidRPr="00ED1007">
              <w:rPr>
                <w:bCs/>
                <w:szCs w:val="24"/>
              </w:rPr>
              <w:t xml:space="preserve">and </w:t>
            </w:r>
            <w:r w:rsidR="003706EA">
              <w:rPr>
                <w:bCs/>
                <w:szCs w:val="24"/>
              </w:rPr>
              <w:t>be asked to agree</w:t>
            </w:r>
            <w:r w:rsidRPr="00ED1007">
              <w:rPr>
                <w:bCs/>
                <w:szCs w:val="24"/>
              </w:rPr>
              <w:t xml:space="preserve"> a draft </w:t>
            </w:r>
            <w:r w:rsidR="0075166A" w:rsidRPr="00ED1007">
              <w:rPr>
                <w:bCs/>
                <w:szCs w:val="24"/>
              </w:rPr>
              <w:t xml:space="preserve">work programme for the Committee for the </w:t>
            </w:r>
            <w:r w:rsidR="003706EA">
              <w:rPr>
                <w:bCs/>
                <w:szCs w:val="24"/>
              </w:rPr>
              <w:t xml:space="preserve">remainder of the </w:t>
            </w:r>
            <w:r w:rsidR="0075166A" w:rsidRPr="00ED1007">
              <w:rPr>
                <w:bCs/>
                <w:szCs w:val="24"/>
              </w:rPr>
              <w:t>202</w:t>
            </w:r>
            <w:r w:rsidR="00A5339D" w:rsidRPr="00ED1007">
              <w:rPr>
                <w:bCs/>
                <w:szCs w:val="24"/>
              </w:rPr>
              <w:t>2-23</w:t>
            </w:r>
            <w:r w:rsidR="00F1403C" w:rsidRPr="00ED1007">
              <w:rPr>
                <w:bCs/>
                <w:szCs w:val="24"/>
              </w:rPr>
              <w:t xml:space="preserve"> municipal </w:t>
            </w:r>
            <w:r w:rsidR="00777E2D" w:rsidRPr="00ED1007">
              <w:rPr>
                <w:bCs/>
                <w:szCs w:val="24"/>
              </w:rPr>
              <w:t>year.</w:t>
            </w:r>
            <w:r w:rsidR="0075166A" w:rsidRPr="00ED1007">
              <w:rPr>
                <w:bCs/>
                <w:szCs w:val="24"/>
              </w:rPr>
              <w:t xml:space="preserve"> </w:t>
            </w:r>
          </w:p>
          <w:p w14:paraId="072448AA" w14:textId="77777777" w:rsidR="0075166A" w:rsidRPr="00ED1007" w:rsidRDefault="0075166A" w:rsidP="004B5D7B">
            <w:pPr>
              <w:rPr>
                <w:bCs/>
                <w:szCs w:val="24"/>
              </w:rPr>
            </w:pPr>
          </w:p>
        </w:tc>
      </w:tr>
      <w:tr w:rsidR="003706EA" w:rsidRPr="00ED1007" w14:paraId="31569646" w14:textId="77777777" w:rsidTr="00D365CC">
        <w:tc>
          <w:tcPr>
            <w:tcW w:w="2961" w:type="dxa"/>
          </w:tcPr>
          <w:p w14:paraId="05FBC072" w14:textId="0A3826DD" w:rsidR="003706EA" w:rsidRPr="00ED1007" w:rsidRDefault="003706EA" w:rsidP="003706EA">
            <w:pPr>
              <w:tabs>
                <w:tab w:val="left" w:pos="2056"/>
              </w:tabs>
            </w:pPr>
            <w:r>
              <w:t>Pension Fund Annual Report and Accounts for 2021-22</w:t>
            </w:r>
          </w:p>
        </w:tc>
        <w:tc>
          <w:tcPr>
            <w:tcW w:w="4618" w:type="dxa"/>
            <w:shd w:val="clear" w:color="auto" w:fill="auto"/>
          </w:tcPr>
          <w:p w14:paraId="577A2205" w14:textId="13EEF9AC" w:rsidR="003706EA" w:rsidRDefault="003706EA" w:rsidP="00FC33FC">
            <w:pPr>
              <w:rPr>
                <w:bCs/>
                <w:szCs w:val="24"/>
              </w:rPr>
            </w:pPr>
            <w:r>
              <w:rPr>
                <w:bCs/>
                <w:szCs w:val="24"/>
              </w:rPr>
              <w:t>The Committee will be asked to review the draft Annual Report and Accounts and the external audit plan. These items are reported elsewhere on this agenda.</w:t>
            </w:r>
          </w:p>
          <w:p w14:paraId="26129122" w14:textId="75D8649B" w:rsidR="003706EA" w:rsidRDefault="003706EA" w:rsidP="00FC33FC">
            <w:pPr>
              <w:rPr>
                <w:bCs/>
                <w:szCs w:val="24"/>
              </w:rPr>
            </w:pPr>
          </w:p>
        </w:tc>
      </w:tr>
      <w:tr w:rsidR="001F6722" w:rsidRPr="00ED1007" w14:paraId="6250D94D" w14:textId="77777777" w:rsidTr="00D365CC">
        <w:tc>
          <w:tcPr>
            <w:tcW w:w="2961" w:type="dxa"/>
          </w:tcPr>
          <w:p w14:paraId="7553BE51" w14:textId="65ECDD35" w:rsidR="001F6722" w:rsidRPr="00ED1007" w:rsidRDefault="00A5339D" w:rsidP="00FC33FC">
            <w:r w:rsidRPr="00ED1007">
              <w:t xml:space="preserve">Review and Approval of </w:t>
            </w:r>
            <w:r w:rsidR="003706EA">
              <w:t>Governance Compliance Statement</w:t>
            </w:r>
            <w:r w:rsidRPr="00ED1007">
              <w:t xml:space="preserve"> </w:t>
            </w:r>
            <w:r w:rsidR="002A5BDC" w:rsidRPr="00ED1007">
              <w:t xml:space="preserve"> </w:t>
            </w:r>
          </w:p>
        </w:tc>
        <w:tc>
          <w:tcPr>
            <w:tcW w:w="4618" w:type="dxa"/>
            <w:shd w:val="clear" w:color="auto" w:fill="auto"/>
          </w:tcPr>
          <w:p w14:paraId="61E1B509" w14:textId="77777777" w:rsidR="003706EA" w:rsidRDefault="003706EA" w:rsidP="00FC33FC">
            <w:pPr>
              <w:rPr>
                <w:bCs/>
                <w:szCs w:val="24"/>
              </w:rPr>
            </w:pPr>
            <w:r>
              <w:rPr>
                <w:bCs/>
                <w:szCs w:val="24"/>
              </w:rPr>
              <w:t xml:space="preserve">The Committee will be asked to review and approve this statement. </w:t>
            </w:r>
          </w:p>
          <w:p w14:paraId="0CE4CD95" w14:textId="04B2FD4B" w:rsidR="00540AA5" w:rsidRDefault="00ED1007" w:rsidP="003706EA">
            <w:pPr>
              <w:rPr>
                <w:bCs/>
                <w:szCs w:val="24"/>
              </w:rPr>
            </w:pPr>
            <w:r>
              <w:rPr>
                <w:bCs/>
                <w:szCs w:val="24"/>
              </w:rPr>
              <w:t xml:space="preserve">The </w:t>
            </w:r>
            <w:r w:rsidR="003706EA">
              <w:rPr>
                <w:bCs/>
                <w:szCs w:val="24"/>
              </w:rPr>
              <w:t xml:space="preserve">Board reviewed the Statement at its meeting in July and made some comments which have been reflected in the version which the Committee is being asked to approve. </w:t>
            </w:r>
            <w:r>
              <w:rPr>
                <w:bCs/>
                <w:szCs w:val="24"/>
              </w:rPr>
              <w:t xml:space="preserve"> </w:t>
            </w:r>
          </w:p>
          <w:p w14:paraId="28B9286E" w14:textId="12777C36" w:rsidR="003706EA" w:rsidRPr="00ED1007" w:rsidRDefault="003706EA" w:rsidP="003706EA">
            <w:pPr>
              <w:rPr>
                <w:bCs/>
                <w:szCs w:val="24"/>
              </w:rPr>
            </w:pPr>
          </w:p>
        </w:tc>
      </w:tr>
      <w:tr w:rsidR="00BA423E" w:rsidRPr="00ED1007" w14:paraId="22F4EAA7" w14:textId="77777777" w:rsidTr="00D365CC">
        <w:tc>
          <w:tcPr>
            <w:tcW w:w="2961" w:type="dxa"/>
          </w:tcPr>
          <w:p w14:paraId="1CB89077" w14:textId="77777777" w:rsidR="00BA423E" w:rsidRDefault="00BA423E" w:rsidP="00FC33FC">
            <w:r w:rsidRPr="00ED1007">
              <w:t xml:space="preserve">Review of </w:t>
            </w:r>
            <w:r w:rsidR="003706EA">
              <w:t xml:space="preserve">Investment managers’ Internal Control Reports </w:t>
            </w:r>
          </w:p>
          <w:p w14:paraId="7D3DA046" w14:textId="7F09240A" w:rsidR="003706EA" w:rsidRPr="00ED1007" w:rsidRDefault="003706EA" w:rsidP="00FC33FC"/>
        </w:tc>
        <w:tc>
          <w:tcPr>
            <w:tcW w:w="4618" w:type="dxa"/>
            <w:shd w:val="clear" w:color="auto" w:fill="auto"/>
          </w:tcPr>
          <w:p w14:paraId="7A8044D3" w14:textId="77777777" w:rsidR="00BA423E" w:rsidRDefault="00BA423E" w:rsidP="00FC33FC">
            <w:pPr>
              <w:rPr>
                <w:bCs/>
                <w:szCs w:val="24"/>
              </w:rPr>
            </w:pPr>
            <w:r w:rsidRPr="00ED1007">
              <w:rPr>
                <w:bCs/>
                <w:szCs w:val="24"/>
              </w:rPr>
              <w:t>T</w:t>
            </w:r>
            <w:r w:rsidR="003706EA">
              <w:rPr>
                <w:bCs/>
                <w:szCs w:val="24"/>
              </w:rPr>
              <w:t>he Committee will consider these reports, and to note that the various auditors have confirmed that in each case, controls were operating satisfactorily and that appropriate management action had been taken where exceptions had been identified.</w:t>
            </w:r>
            <w:r w:rsidR="00ED1007">
              <w:rPr>
                <w:bCs/>
                <w:szCs w:val="24"/>
              </w:rPr>
              <w:t xml:space="preserve"> </w:t>
            </w:r>
          </w:p>
          <w:p w14:paraId="403A9863" w14:textId="7B2FF96A" w:rsidR="003706EA" w:rsidRPr="00ED1007" w:rsidRDefault="003706EA" w:rsidP="00FC33FC">
            <w:pPr>
              <w:rPr>
                <w:bCs/>
                <w:szCs w:val="24"/>
              </w:rPr>
            </w:pPr>
          </w:p>
        </w:tc>
      </w:tr>
      <w:tr w:rsidR="002A5BDC" w:rsidRPr="00ED1007" w14:paraId="356D1E0D" w14:textId="77777777" w:rsidTr="00FC33FC">
        <w:tc>
          <w:tcPr>
            <w:tcW w:w="2961" w:type="dxa"/>
          </w:tcPr>
          <w:p w14:paraId="3DF65F9A" w14:textId="77777777" w:rsidR="002A5BDC" w:rsidRPr="00ED1007" w:rsidRDefault="002A5BDC" w:rsidP="002A5BDC">
            <w:pPr>
              <w:rPr>
                <w:b/>
                <w:szCs w:val="24"/>
              </w:rPr>
            </w:pPr>
            <w:r w:rsidRPr="00ED1007">
              <w:rPr>
                <w:b/>
                <w:szCs w:val="24"/>
              </w:rPr>
              <w:t>Part II</w:t>
            </w:r>
          </w:p>
        </w:tc>
        <w:tc>
          <w:tcPr>
            <w:tcW w:w="4618" w:type="dxa"/>
          </w:tcPr>
          <w:p w14:paraId="2FBE5FC7" w14:textId="77777777" w:rsidR="002A5BDC" w:rsidRPr="00ED1007" w:rsidRDefault="002A5BDC" w:rsidP="002A5BDC">
            <w:pPr>
              <w:rPr>
                <w:bCs/>
                <w:szCs w:val="24"/>
              </w:rPr>
            </w:pPr>
          </w:p>
        </w:tc>
      </w:tr>
      <w:tr w:rsidR="00A5339D" w:rsidRPr="00ED1007" w14:paraId="01F6745A" w14:textId="77777777" w:rsidTr="00FC33FC">
        <w:tc>
          <w:tcPr>
            <w:tcW w:w="2961" w:type="dxa"/>
          </w:tcPr>
          <w:p w14:paraId="1BEDFB8C" w14:textId="222D5CC4" w:rsidR="00A5339D" w:rsidRPr="00ED1007" w:rsidRDefault="00BD02E1" w:rsidP="002A5BDC">
            <w:pPr>
              <w:rPr>
                <w:bCs/>
                <w:szCs w:val="24"/>
              </w:rPr>
            </w:pPr>
            <w:r w:rsidRPr="00ED1007">
              <w:rPr>
                <w:bCs/>
                <w:szCs w:val="24"/>
              </w:rPr>
              <w:t xml:space="preserve">2022 Triennial Valuation – </w:t>
            </w:r>
            <w:r w:rsidR="003706EA">
              <w:rPr>
                <w:bCs/>
                <w:szCs w:val="24"/>
              </w:rPr>
              <w:t xml:space="preserve">Initial Whole Fund Results and Draft LBH Contributions Strategy </w:t>
            </w:r>
          </w:p>
          <w:p w14:paraId="4F7A3421" w14:textId="2585DFF8" w:rsidR="00BD02E1" w:rsidRPr="00ED1007" w:rsidRDefault="00BD02E1" w:rsidP="002A5BDC">
            <w:pPr>
              <w:rPr>
                <w:bCs/>
                <w:szCs w:val="24"/>
              </w:rPr>
            </w:pPr>
          </w:p>
        </w:tc>
        <w:tc>
          <w:tcPr>
            <w:tcW w:w="4618" w:type="dxa"/>
          </w:tcPr>
          <w:p w14:paraId="48B66DEC" w14:textId="77777777" w:rsidR="007F5656" w:rsidRDefault="00BD02E1" w:rsidP="002A5BDC">
            <w:pPr>
              <w:rPr>
                <w:szCs w:val="24"/>
              </w:rPr>
            </w:pPr>
            <w:r w:rsidRPr="00ED1007">
              <w:rPr>
                <w:szCs w:val="24"/>
              </w:rPr>
              <w:t>The Fund’s Actuary</w:t>
            </w:r>
            <w:r w:rsidR="003706EA">
              <w:rPr>
                <w:szCs w:val="24"/>
              </w:rPr>
              <w:t xml:space="preserve"> will present to the Committee on </w:t>
            </w:r>
            <w:r w:rsidRPr="00ED1007">
              <w:rPr>
                <w:szCs w:val="24"/>
              </w:rPr>
              <w:t xml:space="preserve"> </w:t>
            </w:r>
            <w:r w:rsidR="003706EA">
              <w:rPr>
                <w:szCs w:val="24"/>
              </w:rPr>
              <w:t xml:space="preserve">the progress to date, including </w:t>
            </w:r>
            <w:r w:rsidR="007F5656">
              <w:rPr>
                <w:szCs w:val="24"/>
              </w:rPr>
              <w:t>the draft “whole fund” results.</w:t>
            </w:r>
          </w:p>
          <w:p w14:paraId="365F028C" w14:textId="5DA532D1" w:rsidR="00A5339D" w:rsidRPr="00ED1007" w:rsidRDefault="007F5656" w:rsidP="002A5BDC">
            <w:pPr>
              <w:rPr>
                <w:szCs w:val="24"/>
              </w:rPr>
            </w:pPr>
            <w:r>
              <w:rPr>
                <w:szCs w:val="24"/>
              </w:rPr>
              <w:t>The Committee will be asked to approve the draft LB Harrow contributions strategy.</w:t>
            </w:r>
          </w:p>
          <w:p w14:paraId="5D8696EF" w14:textId="6FDADF6A" w:rsidR="00BD02E1" w:rsidRPr="00ED1007" w:rsidRDefault="00BD02E1" w:rsidP="002A5BDC">
            <w:pPr>
              <w:rPr>
                <w:szCs w:val="24"/>
              </w:rPr>
            </w:pPr>
            <w:r w:rsidRPr="00ED1007">
              <w:rPr>
                <w:szCs w:val="24"/>
              </w:rPr>
              <w:t xml:space="preserve">The report </w:t>
            </w:r>
            <w:r w:rsidR="00ED1007">
              <w:rPr>
                <w:szCs w:val="24"/>
              </w:rPr>
              <w:t>w</w:t>
            </w:r>
            <w:r w:rsidR="007F5656">
              <w:rPr>
                <w:szCs w:val="24"/>
              </w:rPr>
              <w:t>ill be</w:t>
            </w:r>
            <w:r w:rsidR="00ED1007">
              <w:rPr>
                <w:szCs w:val="24"/>
              </w:rPr>
              <w:t xml:space="preserve"> considered </w:t>
            </w:r>
            <w:r w:rsidRPr="00ED1007">
              <w:rPr>
                <w:szCs w:val="24"/>
              </w:rPr>
              <w:t xml:space="preserve">in part </w:t>
            </w:r>
            <w:r w:rsidR="007F5656">
              <w:rPr>
                <w:szCs w:val="24"/>
              </w:rPr>
              <w:t>II</w:t>
            </w:r>
            <w:r w:rsidRPr="00ED1007">
              <w:rPr>
                <w:szCs w:val="24"/>
              </w:rPr>
              <w:t xml:space="preserve"> as Hymans Robertson regard the valuation methodology as being their intellectual / commercial property.</w:t>
            </w:r>
          </w:p>
          <w:p w14:paraId="1E2EBC31" w14:textId="7DD3833F" w:rsidR="00BD02E1" w:rsidRPr="00ED1007" w:rsidRDefault="00BD02E1" w:rsidP="002A5BDC">
            <w:pPr>
              <w:rPr>
                <w:szCs w:val="24"/>
              </w:rPr>
            </w:pPr>
          </w:p>
        </w:tc>
      </w:tr>
      <w:tr w:rsidR="00A644A0" w:rsidRPr="00ED1007" w14:paraId="1199F105" w14:textId="77777777" w:rsidTr="00FC33FC">
        <w:tc>
          <w:tcPr>
            <w:tcW w:w="2961" w:type="dxa"/>
          </w:tcPr>
          <w:p w14:paraId="2FD39F7E" w14:textId="3E4C6AA1" w:rsidR="00A644A0" w:rsidRPr="00ED1007" w:rsidRDefault="00A5339D" w:rsidP="002A5BDC">
            <w:pPr>
              <w:rPr>
                <w:bCs/>
                <w:szCs w:val="24"/>
              </w:rPr>
            </w:pPr>
            <w:r w:rsidRPr="00ED1007">
              <w:rPr>
                <w:bCs/>
                <w:szCs w:val="24"/>
              </w:rPr>
              <w:t xml:space="preserve">Review of </w:t>
            </w:r>
            <w:r w:rsidR="007F5656">
              <w:rPr>
                <w:bCs/>
                <w:szCs w:val="24"/>
              </w:rPr>
              <w:t xml:space="preserve">Property Investments (LaSalle Fund of Funds) </w:t>
            </w:r>
            <w:r w:rsidRPr="00ED1007">
              <w:rPr>
                <w:bCs/>
                <w:szCs w:val="24"/>
              </w:rPr>
              <w:t xml:space="preserve"> </w:t>
            </w:r>
          </w:p>
        </w:tc>
        <w:tc>
          <w:tcPr>
            <w:tcW w:w="4618" w:type="dxa"/>
          </w:tcPr>
          <w:p w14:paraId="08038C79" w14:textId="77777777" w:rsidR="007F5656" w:rsidRDefault="00ED1007" w:rsidP="00BD02E1">
            <w:pPr>
              <w:rPr>
                <w:szCs w:val="24"/>
              </w:rPr>
            </w:pPr>
            <w:r>
              <w:rPr>
                <w:szCs w:val="24"/>
              </w:rPr>
              <w:t xml:space="preserve">The Committee </w:t>
            </w:r>
            <w:r w:rsidR="007F5656">
              <w:rPr>
                <w:szCs w:val="24"/>
              </w:rPr>
              <w:t xml:space="preserve">will receive a report, including recommendations from the Fund’s Investment Consultants, Aon, </w:t>
            </w:r>
            <w:r>
              <w:rPr>
                <w:szCs w:val="24"/>
              </w:rPr>
              <w:t xml:space="preserve"> </w:t>
            </w:r>
            <w:r w:rsidR="007F5656">
              <w:rPr>
                <w:szCs w:val="24"/>
              </w:rPr>
              <w:t>setting out the proposed next steps.</w:t>
            </w:r>
          </w:p>
          <w:p w14:paraId="649A6177" w14:textId="5ADA531A" w:rsidR="009824C9" w:rsidRPr="00ED1007" w:rsidRDefault="007F5656" w:rsidP="007F5656">
            <w:pPr>
              <w:rPr>
                <w:szCs w:val="24"/>
              </w:rPr>
            </w:pPr>
            <w:r w:rsidRPr="00ED1007">
              <w:rPr>
                <w:szCs w:val="24"/>
              </w:rPr>
              <w:t xml:space="preserve">The report </w:t>
            </w:r>
            <w:r>
              <w:rPr>
                <w:szCs w:val="24"/>
              </w:rPr>
              <w:t xml:space="preserve">will be considered </w:t>
            </w:r>
            <w:r w:rsidRPr="00ED1007">
              <w:rPr>
                <w:szCs w:val="24"/>
              </w:rPr>
              <w:t xml:space="preserve">in part </w:t>
            </w:r>
            <w:r>
              <w:rPr>
                <w:szCs w:val="24"/>
              </w:rPr>
              <w:t>II</w:t>
            </w:r>
            <w:r w:rsidRPr="00ED1007">
              <w:rPr>
                <w:szCs w:val="24"/>
              </w:rPr>
              <w:t xml:space="preserve"> </w:t>
            </w:r>
            <w:r>
              <w:rPr>
                <w:szCs w:val="24"/>
              </w:rPr>
              <w:t xml:space="preserve">because of the sensitive nature of investment decisions. </w:t>
            </w:r>
          </w:p>
        </w:tc>
      </w:tr>
    </w:tbl>
    <w:p w14:paraId="383BD210" w14:textId="77777777" w:rsidR="0075166A" w:rsidRPr="00ED1007" w:rsidRDefault="0075166A" w:rsidP="0075166A">
      <w:pPr>
        <w:ind w:left="720"/>
        <w:jc w:val="both"/>
      </w:pPr>
    </w:p>
    <w:p w14:paraId="7A891A48" w14:textId="77777777" w:rsidR="00976004" w:rsidRDefault="00976004" w:rsidP="00976004">
      <w:pPr>
        <w:ind w:left="720"/>
        <w:jc w:val="both"/>
        <w:rPr>
          <w:szCs w:val="24"/>
        </w:rPr>
      </w:pPr>
    </w:p>
    <w:p w14:paraId="0F6356C4" w14:textId="1501E696" w:rsidR="007F5656" w:rsidRDefault="00BD02E1" w:rsidP="00332C93">
      <w:pPr>
        <w:numPr>
          <w:ilvl w:val="0"/>
          <w:numId w:val="16"/>
        </w:numPr>
        <w:jc w:val="both"/>
        <w:rPr>
          <w:szCs w:val="24"/>
        </w:rPr>
      </w:pPr>
      <w:r w:rsidRPr="007F5656">
        <w:rPr>
          <w:szCs w:val="24"/>
        </w:rPr>
        <w:t>T</w:t>
      </w:r>
      <w:r w:rsidR="00260000" w:rsidRPr="007F5656">
        <w:rPr>
          <w:szCs w:val="24"/>
        </w:rPr>
        <w:t>h</w:t>
      </w:r>
      <w:r w:rsidR="003315E4" w:rsidRPr="007F5656">
        <w:rPr>
          <w:szCs w:val="24"/>
        </w:rPr>
        <w:t xml:space="preserve">e Pension Fund’s </w:t>
      </w:r>
      <w:r w:rsidR="00260000" w:rsidRPr="007F5656">
        <w:rPr>
          <w:szCs w:val="24"/>
        </w:rPr>
        <w:t>investments were valued at</w:t>
      </w:r>
      <w:r w:rsidRPr="007F5656">
        <w:rPr>
          <w:szCs w:val="24"/>
        </w:rPr>
        <w:t xml:space="preserve"> £</w:t>
      </w:r>
      <w:r w:rsidR="006809C4">
        <w:rPr>
          <w:szCs w:val="24"/>
        </w:rPr>
        <w:t>929m</w:t>
      </w:r>
      <w:r w:rsidRPr="007F5656">
        <w:rPr>
          <w:szCs w:val="24"/>
        </w:rPr>
        <w:t xml:space="preserve"> at 3</w:t>
      </w:r>
      <w:r w:rsidR="007F5656" w:rsidRPr="007F5656">
        <w:rPr>
          <w:szCs w:val="24"/>
        </w:rPr>
        <w:t>0 June</w:t>
      </w:r>
      <w:r w:rsidR="00133785" w:rsidRPr="007F5656">
        <w:rPr>
          <w:szCs w:val="24"/>
        </w:rPr>
        <w:t xml:space="preserve"> 2022</w:t>
      </w:r>
      <w:r w:rsidRPr="007F5656">
        <w:rPr>
          <w:szCs w:val="24"/>
        </w:rPr>
        <w:t xml:space="preserve">. The details are </w:t>
      </w:r>
      <w:r w:rsidR="003315E4" w:rsidRPr="007F5656">
        <w:rPr>
          <w:szCs w:val="24"/>
        </w:rPr>
        <w:t xml:space="preserve">shown at appendix </w:t>
      </w:r>
      <w:r w:rsidR="00CB4353" w:rsidRPr="007F5656">
        <w:rPr>
          <w:szCs w:val="24"/>
        </w:rPr>
        <w:t>1</w:t>
      </w:r>
      <w:r w:rsidRPr="007F5656">
        <w:rPr>
          <w:szCs w:val="24"/>
        </w:rPr>
        <w:t xml:space="preserve">. There </w:t>
      </w:r>
      <w:r w:rsidR="00260000" w:rsidRPr="007F5656">
        <w:rPr>
          <w:szCs w:val="24"/>
        </w:rPr>
        <w:t>have been further drawdowns to both the LCIV Infrastructure Fund and the LCIV Renewables Infrastructure Fund</w:t>
      </w:r>
      <w:r w:rsidRPr="007F5656">
        <w:rPr>
          <w:szCs w:val="24"/>
        </w:rPr>
        <w:t xml:space="preserve"> </w:t>
      </w:r>
      <w:r w:rsidR="00133785" w:rsidRPr="007F5656">
        <w:rPr>
          <w:szCs w:val="24"/>
        </w:rPr>
        <w:t>Q2 of 2022, and the transition</w:t>
      </w:r>
      <w:r w:rsidR="00821C13" w:rsidRPr="007F5656">
        <w:rPr>
          <w:szCs w:val="24"/>
        </w:rPr>
        <w:t xml:space="preserve"> of Emerging market equities (see above) </w:t>
      </w:r>
      <w:r w:rsidR="007F5656" w:rsidRPr="007F5656">
        <w:rPr>
          <w:szCs w:val="24"/>
        </w:rPr>
        <w:t>was</w:t>
      </w:r>
      <w:r w:rsidR="00821C13" w:rsidRPr="007F5656">
        <w:rPr>
          <w:szCs w:val="24"/>
        </w:rPr>
        <w:t xml:space="preserve"> be completed in July 2022. </w:t>
      </w:r>
    </w:p>
    <w:p w14:paraId="03D66B6A" w14:textId="4D04EFB1" w:rsidR="00933709" w:rsidRDefault="00821C13" w:rsidP="007F5656">
      <w:pPr>
        <w:ind w:left="720"/>
        <w:jc w:val="both"/>
        <w:rPr>
          <w:szCs w:val="24"/>
        </w:rPr>
      </w:pPr>
      <w:r w:rsidRPr="00821C13">
        <w:rPr>
          <w:szCs w:val="24"/>
        </w:rPr>
        <w:t>The Fund’s past service liabilities at 3</w:t>
      </w:r>
      <w:r w:rsidR="007F5656">
        <w:rPr>
          <w:szCs w:val="24"/>
        </w:rPr>
        <w:t>0 June</w:t>
      </w:r>
      <w:r w:rsidRPr="00821C13">
        <w:rPr>
          <w:szCs w:val="24"/>
        </w:rPr>
        <w:t xml:space="preserve"> 2022 totalled £</w:t>
      </w:r>
      <w:r w:rsidR="007F5656">
        <w:rPr>
          <w:szCs w:val="24"/>
        </w:rPr>
        <w:t>868</w:t>
      </w:r>
      <w:r w:rsidRPr="00821C13">
        <w:rPr>
          <w:szCs w:val="24"/>
        </w:rPr>
        <w:t>m meaning the Fund was approximately 10</w:t>
      </w:r>
      <w:r w:rsidR="007F5656">
        <w:rPr>
          <w:szCs w:val="24"/>
        </w:rPr>
        <w:t>7</w:t>
      </w:r>
      <w:r w:rsidRPr="00821C13">
        <w:rPr>
          <w:szCs w:val="24"/>
        </w:rPr>
        <w:t xml:space="preserve">% funded. </w:t>
      </w:r>
      <w:r w:rsidR="007F5656" w:rsidRPr="00C24A81">
        <w:rPr>
          <w:szCs w:val="24"/>
        </w:rPr>
        <w:t xml:space="preserve">This estimate of liabilities is </w:t>
      </w:r>
      <w:r w:rsidR="007F5656">
        <w:rPr>
          <w:szCs w:val="24"/>
        </w:rPr>
        <w:t xml:space="preserve">simply </w:t>
      </w:r>
      <w:r w:rsidR="007F5656" w:rsidRPr="00C24A81">
        <w:rPr>
          <w:szCs w:val="24"/>
        </w:rPr>
        <w:t>a rolled forward projection based on the 2019 actuarial valuation, the results of which were reported to the Committee in December 2019</w:t>
      </w:r>
      <w:r w:rsidR="007F5656">
        <w:rPr>
          <w:szCs w:val="24"/>
        </w:rPr>
        <w:t xml:space="preserve">. As reported elsewhere on this agenda, the 2022 triennial valuation is underway, and this will reflect updated data and assumptions. </w:t>
      </w:r>
    </w:p>
    <w:p w14:paraId="4F58A532" w14:textId="77777777" w:rsidR="007F5656" w:rsidRDefault="007F5656" w:rsidP="007F5656">
      <w:pPr>
        <w:pStyle w:val="ListParagraph"/>
        <w:rPr>
          <w:szCs w:val="24"/>
        </w:rPr>
      </w:pPr>
    </w:p>
    <w:p w14:paraId="1933DFB4" w14:textId="0D5E70FB" w:rsidR="006809C4" w:rsidRDefault="007F5656" w:rsidP="00E96195">
      <w:pPr>
        <w:numPr>
          <w:ilvl w:val="0"/>
          <w:numId w:val="16"/>
        </w:numPr>
        <w:jc w:val="both"/>
        <w:rPr>
          <w:szCs w:val="24"/>
        </w:rPr>
      </w:pPr>
      <w:r w:rsidRPr="006809C4">
        <w:rPr>
          <w:szCs w:val="24"/>
        </w:rPr>
        <w:t>At 31 July</w:t>
      </w:r>
      <w:r w:rsidR="006809C4" w:rsidRPr="006809C4">
        <w:rPr>
          <w:szCs w:val="24"/>
        </w:rPr>
        <w:t xml:space="preserve"> </w:t>
      </w:r>
      <w:r w:rsidRPr="006809C4">
        <w:rPr>
          <w:szCs w:val="24"/>
        </w:rPr>
        <w:t xml:space="preserve">2022, </w:t>
      </w:r>
      <w:r w:rsidR="006809C4" w:rsidRPr="006809C4">
        <w:rPr>
          <w:szCs w:val="24"/>
        </w:rPr>
        <w:t xml:space="preserve">the value of the Fund’s investments was £969m. </w:t>
      </w:r>
      <w:r w:rsidR="006809C4">
        <w:rPr>
          <w:szCs w:val="24"/>
        </w:rPr>
        <w:t>At that date, 78.3</w:t>
      </w:r>
      <w:r w:rsidRPr="006809C4">
        <w:rPr>
          <w:szCs w:val="24"/>
        </w:rPr>
        <w:t xml:space="preserve">% of the Fund’s investments were pooled or in passive investments which are regarded as being pooled. </w:t>
      </w:r>
    </w:p>
    <w:p w14:paraId="5262CA7C" w14:textId="77777777" w:rsidR="006809C4" w:rsidRDefault="006809C4" w:rsidP="006809C4">
      <w:pPr>
        <w:ind w:left="720"/>
        <w:jc w:val="both"/>
        <w:rPr>
          <w:szCs w:val="24"/>
        </w:rPr>
      </w:pPr>
    </w:p>
    <w:p w14:paraId="4F5571B1" w14:textId="5EB1AFE5" w:rsidR="006809C4" w:rsidRPr="006809C4" w:rsidRDefault="006809C4" w:rsidP="00E96195">
      <w:pPr>
        <w:numPr>
          <w:ilvl w:val="0"/>
          <w:numId w:val="16"/>
        </w:numPr>
        <w:jc w:val="both"/>
        <w:rPr>
          <w:szCs w:val="24"/>
        </w:rPr>
      </w:pPr>
      <w:r w:rsidRPr="006809C4">
        <w:rPr>
          <w:szCs w:val="24"/>
        </w:rPr>
        <w:t xml:space="preserve">The values of most asset classes (except property) fell during the quarter </w:t>
      </w:r>
      <w:r>
        <w:rPr>
          <w:szCs w:val="24"/>
        </w:rPr>
        <w:t xml:space="preserve">ended 30 June 2022 </w:t>
      </w:r>
      <w:r w:rsidRPr="006809C4">
        <w:rPr>
          <w:szCs w:val="24"/>
        </w:rPr>
        <w:t>– this was due to the various pressures on the global economy, including the impact of the war in Ukraine on energy and commodity prices, the growth in inflation driven partly by those impacts and also by continued lockdowns in areas of China leading to shortages of some products. In addition, the fall in the value of the £ relative to the US dollar has impacted negatively on the Fund’s currency hedging positions. During July the Fund’s value increased by £40m. The main contributor was equities, although other asset classes also recovered some of the ground lost in the previous quarter</w:t>
      </w:r>
      <w:r>
        <w:rPr>
          <w:szCs w:val="24"/>
        </w:rPr>
        <w:t>.</w:t>
      </w:r>
    </w:p>
    <w:p w14:paraId="5F6BD5FD" w14:textId="77777777" w:rsidR="006B5B52" w:rsidRPr="00ED1007" w:rsidRDefault="006B5B52" w:rsidP="006B5B52">
      <w:pPr>
        <w:pStyle w:val="Heading2"/>
      </w:pPr>
      <w:r w:rsidRPr="00821C13">
        <w:t>Legal Implications</w:t>
      </w:r>
    </w:p>
    <w:p w14:paraId="56739B89" w14:textId="77777777" w:rsidR="006B5B52" w:rsidRPr="00ED1007" w:rsidRDefault="006B5B52" w:rsidP="006B5B52">
      <w:pPr>
        <w:pStyle w:val="ListParagraph"/>
      </w:pPr>
    </w:p>
    <w:p w14:paraId="1AE22C2D" w14:textId="7F1C0BB7" w:rsidR="006B5B52" w:rsidRPr="00ED1007" w:rsidRDefault="006B5B52" w:rsidP="000E1E98">
      <w:pPr>
        <w:numPr>
          <w:ilvl w:val="0"/>
          <w:numId w:val="16"/>
        </w:numPr>
        <w:jc w:val="both"/>
        <w:rPr>
          <w:szCs w:val="24"/>
        </w:rPr>
      </w:pPr>
      <w:r w:rsidRPr="00ED1007">
        <w:rPr>
          <w:szCs w:val="24"/>
        </w:rPr>
        <w:t>There are no direct legal implications arising from this report.</w:t>
      </w:r>
    </w:p>
    <w:p w14:paraId="71FA671C" w14:textId="77777777" w:rsidR="005740D4" w:rsidRPr="00ED1007" w:rsidRDefault="005740D4" w:rsidP="005740D4">
      <w:pPr>
        <w:ind w:left="720"/>
        <w:jc w:val="both"/>
        <w:rPr>
          <w:szCs w:val="24"/>
        </w:rPr>
      </w:pPr>
    </w:p>
    <w:p w14:paraId="20DF4B67" w14:textId="314F3ABD" w:rsidR="007F5656" w:rsidRPr="007F5656" w:rsidRDefault="007F5656" w:rsidP="007F5656">
      <w:pPr>
        <w:numPr>
          <w:ilvl w:val="0"/>
          <w:numId w:val="16"/>
        </w:numPr>
        <w:jc w:val="both"/>
        <w:rPr>
          <w:szCs w:val="24"/>
        </w:rPr>
      </w:pPr>
      <w:r w:rsidRPr="007F5656">
        <w:rPr>
          <w:szCs w:val="24"/>
        </w:rPr>
        <w:t xml:space="preserve">The terms of reference for the Board include the Board’s role as set out in the following paragraphs. </w:t>
      </w:r>
    </w:p>
    <w:p w14:paraId="315C7E5E" w14:textId="77777777" w:rsidR="007F5656" w:rsidRDefault="007F5656" w:rsidP="007F5656">
      <w:pPr>
        <w:pStyle w:val="ListParagraph"/>
        <w:rPr>
          <w:szCs w:val="24"/>
        </w:rPr>
      </w:pPr>
    </w:p>
    <w:p w14:paraId="4468AEB8" w14:textId="77777777" w:rsidR="007F5656" w:rsidRPr="00B17A17" w:rsidRDefault="007F5656" w:rsidP="007F5656">
      <w:pPr>
        <w:numPr>
          <w:ilvl w:val="0"/>
          <w:numId w:val="16"/>
        </w:numPr>
        <w:jc w:val="both"/>
        <w:rPr>
          <w:szCs w:val="24"/>
        </w:rPr>
      </w:pPr>
      <w:r w:rsidRPr="00B17A17">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7F03A920" w14:textId="77777777" w:rsidR="007F5656" w:rsidRPr="00B17A17" w:rsidRDefault="007F5656" w:rsidP="007F5656">
      <w:pPr>
        <w:pStyle w:val="ListParagraph"/>
        <w:numPr>
          <w:ilvl w:val="0"/>
          <w:numId w:val="26"/>
        </w:numPr>
        <w:shd w:val="clear" w:color="auto" w:fill="FFFFFF"/>
        <w:rPr>
          <w:color w:val="262626"/>
          <w:sz w:val="24"/>
          <w:szCs w:val="24"/>
        </w:rPr>
      </w:pPr>
      <w:r w:rsidRPr="00B17A17">
        <w:rPr>
          <w:color w:val="262626"/>
          <w:sz w:val="24"/>
          <w:szCs w:val="24"/>
        </w:rPr>
        <w:t>securing compliance with the LGPS regulations and other legislation relating to the governance and administration of the LGPS;</w:t>
      </w:r>
    </w:p>
    <w:p w14:paraId="4A7C1A20" w14:textId="77777777" w:rsidR="007F5656" w:rsidRPr="00B17A17" w:rsidRDefault="007F5656" w:rsidP="007F5656">
      <w:pPr>
        <w:pStyle w:val="ListParagraph"/>
        <w:numPr>
          <w:ilvl w:val="0"/>
          <w:numId w:val="26"/>
        </w:numPr>
        <w:shd w:val="clear" w:color="auto" w:fill="FFFFFF"/>
        <w:rPr>
          <w:color w:val="262626"/>
          <w:sz w:val="24"/>
          <w:szCs w:val="24"/>
        </w:rPr>
      </w:pPr>
      <w:r w:rsidRPr="00B17A17">
        <w:rPr>
          <w:color w:val="262626"/>
          <w:sz w:val="24"/>
          <w:szCs w:val="24"/>
        </w:rPr>
        <w:t>securing compliance with requirements imposed in relation to the LGPS by the Pensions Regulator; and</w:t>
      </w:r>
    </w:p>
    <w:p w14:paraId="16030DE0" w14:textId="77777777" w:rsidR="007F5656" w:rsidRPr="00B17A17" w:rsidRDefault="007F5656" w:rsidP="007F5656">
      <w:pPr>
        <w:pStyle w:val="ListParagraph"/>
        <w:numPr>
          <w:ilvl w:val="0"/>
          <w:numId w:val="26"/>
        </w:numPr>
        <w:shd w:val="clear" w:color="auto" w:fill="FFFFFF"/>
        <w:spacing w:after="160"/>
        <w:rPr>
          <w:color w:val="262626"/>
          <w:sz w:val="24"/>
          <w:szCs w:val="24"/>
        </w:rPr>
      </w:pPr>
      <w:r w:rsidRPr="00B17A17">
        <w:rPr>
          <w:color w:val="262626"/>
          <w:sz w:val="24"/>
          <w:szCs w:val="24"/>
        </w:rPr>
        <w:t>such other matters the LGPS regulations may specify.</w:t>
      </w:r>
    </w:p>
    <w:p w14:paraId="0E381276" w14:textId="77777777" w:rsidR="007F5656" w:rsidRDefault="007F5656" w:rsidP="007F5656">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1828E24E" w14:textId="77777777" w:rsidR="007F5656" w:rsidRPr="00B17A17" w:rsidRDefault="007F5656" w:rsidP="007F5656">
      <w:pPr>
        <w:shd w:val="clear" w:color="auto" w:fill="FFFFFF"/>
        <w:ind w:left="720"/>
        <w:jc w:val="both"/>
        <w:rPr>
          <w:rFonts w:cs="Arial"/>
          <w:color w:val="262626"/>
          <w:szCs w:val="24"/>
          <w:lang w:eastAsia="en-GB"/>
        </w:rPr>
      </w:pPr>
    </w:p>
    <w:p w14:paraId="737E8EF8" w14:textId="77777777" w:rsidR="007F5656" w:rsidRPr="00B17A17" w:rsidRDefault="007F5656" w:rsidP="007F5656">
      <w:pPr>
        <w:numPr>
          <w:ilvl w:val="0"/>
          <w:numId w:val="16"/>
        </w:numPr>
        <w:shd w:val="clear" w:color="auto" w:fill="FFFFFF"/>
        <w:jc w:val="both"/>
        <w:rPr>
          <w:rFonts w:cs="Arial"/>
          <w:color w:val="262626"/>
          <w:szCs w:val="24"/>
          <w:lang w:eastAsia="en-GB"/>
        </w:rPr>
      </w:pPr>
      <w:r w:rsidRPr="00B17A17">
        <w:rPr>
          <w:rFonts w:cs="Arial"/>
          <w:color w:val="262626"/>
          <w:szCs w:val="24"/>
          <w:lang w:eastAsia="en-GB"/>
        </w:rPr>
        <w:lastRenderedPageBreak/>
        <w:t>In its role, The Board will have oversight of the administration of the fund including:</w:t>
      </w:r>
    </w:p>
    <w:p w14:paraId="593FA89E" w14:textId="77777777" w:rsidR="007F5656" w:rsidRPr="00B17A17" w:rsidRDefault="007F5656" w:rsidP="007F5656">
      <w:pPr>
        <w:shd w:val="clear" w:color="auto" w:fill="FFFFFF"/>
        <w:ind w:left="720"/>
        <w:rPr>
          <w:rFonts w:cs="Arial"/>
          <w:color w:val="262626"/>
          <w:szCs w:val="24"/>
          <w:lang w:eastAsia="en-GB"/>
        </w:rPr>
      </w:pPr>
      <w:r w:rsidRPr="00B17A17">
        <w:rPr>
          <w:rFonts w:cs="Arial"/>
          <w:color w:val="262626"/>
          <w:szCs w:val="24"/>
          <w:lang w:eastAsia="en-GB"/>
        </w:rPr>
        <w:t> </w:t>
      </w:r>
    </w:p>
    <w:p w14:paraId="7A349E38" w14:textId="77777777"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a.</w:t>
      </w:r>
      <w:r w:rsidRPr="00B17A17">
        <w:rPr>
          <w:rFonts w:ascii="Times New Roman" w:hAnsi="Times New Roman"/>
          <w:color w:val="262626"/>
          <w:sz w:val="14"/>
          <w:szCs w:val="14"/>
          <w:lang w:eastAsia="en-GB"/>
        </w:rPr>
        <w:t>           </w:t>
      </w:r>
      <w:r w:rsidRPr="00B17A17">
        <w:rPr>
          <w:rFonts w:cs="Arial"/>
          <w:color w:val="262626"/>
          <w:szCs w:val="24"/>
          <w:lang w:eastAsia="en-GB"/>
        </w:rPr>
        <w:t> The effectiveness of the decision making process</w:t>
      </w:r>
    </w:p>
    <w:p w14:paraId="4FA6CEF7" w14:textId="77777777"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b.</w:t>
      </w:r>
      <w:r w:rsidRPr="00B17A17">
        <w:rPr>
          <w:rFonts w:ascii="Times New Roman" w:hAnsi="Times New Roman"/>
          <w:color w:val="262626"/>
          <w:sz w:val="14"/>
          <w:szCs w:val="14"/>
          <w:lang w:eastAsia="en-GB"/>
        </w:rPr>
        <w:t>           </w:t>
      </w:r>
      <w:r w:rsidRPr="00B17A17">
        <w:rPr>
          <w:rFonts w:cs="Arial"/>
          <w:color w:val="262626"/>
          <w:szCs w:val="24"/>
          <w:lang w:eastAsia="en-GB"/>
        </w:rPr>
        <w:t> The direction of the Fund and its overall objectives</w:t>
      </w:r>
    </w:p>
    <w:p w14:paraId="4D5EC70D" w14:textId="77777777"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c.</w:t>
      </w:r>
      <w:r w:rsidRPr="00B17A17">
        <w:rPr>
          <w:rFonts w:ascii="Times New Roman" w:hAnsi="Times New Roman"/>
          <w:color w:val="262626"/>
          <w:sz w:val="14"/>
          <w:szCs w:val="14"/>
          <w:lang w:eastAsia="en-GB"/>
        </w:rPr>
        <w:t>           </w:t>
      </w:r>
      <w:r w:rsidRPr="00B17A17">
        <w:rPr>
          <w:rFonts w:cs="Arial"/>
          <w:color w:val="262626"/>
          <w:szCs w:val="24"/>
          <w:lang w:eastAsia="en-GB"/>
        </w:rPr>
        <w:t> The level of transparency in the conduct of the Fund’s activities</w:t>
      </w:r>
    </w:p>
    <w:p w14:paraId="48071816" w14:textId="77777777"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d.</w:t>
      </w:r>
      <w:r w:rsidRPr="00B17A17">
        <w:rPr>
          <w:rFonts w:ascii="Times New Roman" w:hAnsi="Times New Roman"/>
          <w:color w:val="262626"/>
          <w:sz w:val="14"/>
          <w:szCs w:val="14"/>
          <w:lang w:eastAsia="en-GB"/>
        </w:rPr>
        <w:t>           </w:t>
      </w:r>
      <w:r w:rsidRPr="00B17A17">
        <w:rPr>
          <w:rFonts w:cs="Arial"/>
          <w:color w:val="262626"/>
          <w:szCs w:val="24"/>
          <w:lang w:eastAsia="en-GB"/>
        </w:rPr>
        <w:t> The administration of benefits and contributions</w:t>
      </w:r>
    </w:p>
    <w:p w14:paraId="5333E014" w14:textId="77777777" w:rsidR="007F5656" w:rsidRPr="00B17A17" w:rsidRDefault="007F5656" w:rsidP="007F5656">
      <w:pPr>
        <w:shd w:val="clear" w:color="auto" w:fill="FFFFFF"/>
        <w:ind w:left="720"/>
        <w:rPr>
          <w:rFonts w:cs="Arial"/>
          <w:color w:val="262626"/>
          <w:szCs w:val="24"/>
          <w:lang w:eastAsia="en-GB"/>
        </w:rPr>
      </w:pPr>
      <w:r w:rsidRPr="00B17A17">
        <w:rPr>
          <w:rFonts w:cs="Arial"/>
          <w:color w:val="262626"/>
          <w:szCs w:val="24"/>
          <w:lang w:eastAsia="en-GB"/>
        </w:rPr>
        <w:t> </w:t>
      </w:r>
    </w:p>
    <w:p w14:paraId="0828422D" w14:textId="77777777" w:rsidR="007F5656" w:rsidRPr="00B17A17" w:rsidRDefault="007F5656" w:rsidP="007F5656">
      <w:pPr>
        <w:numPr>
          <w:ilvl w:val="0"/>
          <w:numId w:val="16"/>
        </w:numPr>
        <w:jc w:val="both"/>
        <w:rPr>
          <w:szCs w:val="24"/>
        </w:rPr>
      </w:pPr>
      <w:r w:rsidRPr="00B17A17">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0B7F62D6" w14:textId="77777777" w:rsidR="007F5656" w:rsidRPr="00B17A17" w:rsidRDefault="007F5656" w:rsidP="007F5656">
      <w:pPr>
        <w:ind w:left="720"/>
        <w:jc w:val="both"/>
        <w:rPr>
          <w:szCs w:val="24"/>
        </w:rPr>
      </w:pPr>
    </w:p>
    <w:p w14:paraId="30FF5ED8" w14:textId="77777777" w:rsidR="007F5656" w:rsidRPr="00B17A17" w:rsidRDefault="007F5656" w:rsidP="007F5656">
      <w:pPr>
        <w:numPr>
          <w:ilvl w:val="0"/>
          <w:numId w:val="16"/>
        </w:numPr>
        <w:jc w:val="both"/>
        <w:rPr>
          <w:szCs w:val="24"/>
        </w:rPr>
      </w:pPr>
      <w:r w:rsidRPr="00B17A17">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4FE659A9" w14:textId="77777777" w:rsidR="007F5656" w:rsidRDefault="007F5656" w:rsidP="007F5656">
      <w:pPr>
        <w:pStyle w:val="ListParagraph"/>
        <w:rPr>
          <w:szCs w:val="24"/>
        </w:rPr>
      </w:pPr>
    </w:p>
    <w:p w14:paraId="530A9663" w14:textId="77777777" w:rsidR="007F5656" w:rsidRPr="00B17A17" w:rsidRDefault="007F5656" w:rsidP="007F5656">
      <w:pPr>
        <w:numPr>
          <w:ilvl w:val="0"/>
          <w:numId w:val="16"/>
        </w:numPr>
        <w:jc w:val="both"/>
        <w:rPr>
          <w:szCs w:val="24"/>
        </w:rPr>
      </w:pPr>
      <w:r w:rsidRPr="00B17A17">
        <w:rPr>
          <w:rFonts w:cs="Arial"/>
          <w:color w:val="262626"/>
          <w:szCs w:val="24"/>
          <w:lang w:eastAsia="en-GB"/>
        </w:rPr>
        <w:t>The Board shall meet sufficiently regularly to discharge its duties and responsibilities effectively.</w:t>
      </w:r>
    </w:p>
    <w:p w14:paraId="4C08F992" w14:textId="7A76018F" w:rsidR="006B5B52" w:rsidRPr="007F5656" w:rsidRDefault="006B5B52" w:rsidP="007F5656">
      <w:pPr>
        <w:pStyle w:val="Heading2"/>
        <w:spacing w:after="240"/>
      </w:pPr>
      <w:r w:rsidRPr="00ED1007">
        <w:t>Financial Implications</w:t>
      </w:r>
    </w:p>
    <w:p w14:paraId="42CA06A9" w14:textId="2A3E5B29" w:rsidR="006B5B52" w:rsidRPr="00ED1007" w:rsidRDefault="006B5B52" w:rsidP="00EB0AAE">
      <w:pPr>
        <w:numPr>
          <w:ilvl w:val="0"/>
          <w:numId w:val="16"/>
        </w:numPr>
        <w:jc w:val="both"/>
        <w:rPr>
          <w:szCs w:val="24"/>
          <w:lang w:val="en-US"/>
        </w:rPr>
      </w:pPr>
      <w:r w:rsidRPr="00ED1007">
        <w:rPr>
          <w:szCs w:val="24"/>
          <w:lang w:val="en-US"/>
        </w:rPr>
        <w:t>Whilst the performance and effective controls of the fund managers is of paramount importance in the performance of the Pension Fund, there are no</w:t>
      </w:r>
      <w:r w:rsidR="00F6771C" w:rsidRPr="00ED1007">
        <w:rPr>
          <w:szCs w:val="24"/>
          <w:lang w:val="en-US"/>
        </w:rPr>
        <w:t xml:space="preserve"> direct </w:t>
      </w:r>
      <w:r w:rsidRPr="00ED1007">
        <w:rPr>
          <w:szCs w:val="24"/>
          <w:lang w:val="en-US"/>
        </w:rPr>
        <w:t>financial implications arising from this report.</w:t>
      </w:r>
    </w:p>
    <w:p w14:paraId="0568C5C0" w14:textId="77777777" w:rsidR="006B5B52" w:rsidRPr="00ED1007" w:rsidRDefault="006B5B52" w:rsidP="006B5B52">
      <w:pPr>
        <w:pStyle w:val="Heading2"/>
        <w:spacing w:after="240"/>
      </w:pPr>
      <w:r w:rsidRPr="00ED1007">
        <w:t>Risk Management Implications</w:t>
      </w:r>
    </w:p>
    <w:p w14:paraId="34DCB0E4" w14:textId="117AE982" w:rsidR="006B5B52" w:rsidRPr="00ED1007" w:rsidRDefault="006B5B52" w:rsidP="006B5B52">
      <w:pPr>
        <w:ind w:left="720"/>
        <w:jc w:val="both"/>
        <w:rPr>
          <w:szCs w:val="24"/>
          <w:lang w:val="en-US"/>
        </w:rPr>
      </w:pPr>
    </w:p>
    <w:p w14:paraId="21DD527F" w14:textId="7658E7AB" w:rsidR="00F6771C" w:rsidRPr="00ED1007" w:rsidRDefault="00F6771C" w:rsidP="00F6771C">
      <w:pPr>
        <w:numPr>
          <w:ilvl w:val="0"/>
          <w:numId w:val="16"/>
        </w:numPr>
        <w:autoSpaceDE w:val="0"/>
        <w:autoSpaceDN w:val="0"/>
        <w:adjustRightInd w:val="0"/>
        <w:rPr>
          <w:rFonts w:cs="Arial"/>
          <w:color w:val="000000"/>
          <w:szCs w:val="24"/>
          <w:lang w:eastAsia="en-GB"/>
        </w:rPr>
      </w:pPr>
      <w:r w:rsidRPr="00ED1007">
        <w:t xml:space="preserve">The Pension Fund’s Risk Register is reviewed regularly by both the Pension Fund Committee and by the Board. The </w:t>
      </w:r>
      <w:r w:rsidR="0064241B" w:rsidRPr="00ED1007">
        <w:t xml:space="preserve">next review will be considered by the Board at </w:t>
      </w:r>
      <w:r w:rsidR="00260000" w:rsidRPr="00ED1007">
        <w:t>this meeting.</w:t>
      </w:r>
      <w:r w:rsidRPr="00ED1007">
        <w:t xml:space="preserve"> </w:t>
      </w:r>
    </w:p>
    <w:p w14:paraId="42B288D6" w14:textId="77777777" w:rsidR="00F6771C" w:rsidRPr="00ED1007" w:rsidRDefault="00F6771C" w:rsidP="00F6771C">
      <w:pPr>
        <w:autoSpaceDE w:val="0"/>
        <w:autoSpaceDN w:val="0"/>
        <w:adjustRightInd w:val="0"/>
        <w:ind w:left="426"/>
        <w:rPr>
          <w:rFonts w:cs="Arial"/>
          <w:color w:val="000000"/>
          <w:szCs w:val="24"/>
          <w:lang w:eastAsia="en-GB"/>
        </w:rPr>
      </w:pPr>
    </w:p>
    <w:p w14:paraId="0E59B0B9" w14:textId="56384425" w:rsidR="00F6771C" w:rsidRPr="00ED1007" w:rsidRDefault="00F6771C" w:rsidP="00F6771C">
      <w:pPr>
        <w:numPr>
          <w:ilvl w:val="0"/>
          <w:numId w:val="16"/>
        </w:numPr>
        <w:jc w:val="both"/>
      </w:pPr>
      <w:r w:rsidRPr="00ED1007">
        <w:t>There are no specific risk management implications arising from this report. The level of risk to which its investments are exposed is a key component in developing the Fund’s investment strategy</w:t>
      </w:r>
    </w:p>
    <w:p w14:paraId="16855B49" w14:textId="77777777" w:rsidR="00C55540" w:rsidRPr="00ED1007" w:rsidRDefault="00C55540" w:rsidP="00C55540">
      <w:pPr>
        <w:pStyle w:val="Heading2"/>
        <w:keepNext/>
        <w:spacing w:after="240"/>
      </w:pPr>
      <w:r w:rsidRPr="00ED1007">
        <w:t xml:space="preserve">Equalities implications / Public Sector Equality Duty </w:t>
      </w:r>
    </w:p>
    <w:p w14:paraId="150BCE92" w14:textId="54EFFC9B" w:rsidR="00C55540" w:rsidRPr="00ED1007" w:rsidRDefault="00C55540" w:rsidP="00C55540">
      <w:pPr>
        <w:pStyle w:val="ListParagraph"/>
        <w:numPr>
          <w:ilvl w:val="0"/>
          <w:numId w:val="16"/>
        </w:numPr>
        <w:rPr>
          <w:sz w:val="24"/>
          <w:szCs w:val="24"/>
        </w:rPr>
      </w:pPr>
      <w:r w:rsidRPr="00ED1007">
        <w:rPr>
          <w:sz w:val="24"/>
          <w:szCs w:val="24"/>
        </w:rPr>
        <w:t xml:space="preserve">Was an Equality Impact Assessment carried out?  No </w:t>
      </w:r>
    </w:p>
    <w:p w14:paraId="010082B9" w14:textId="77777777" w:rsidR="00C55540" w:rsidRPr="00ED1007" w:rsidRDefault="00C55540" w:rsidP="00C55540">
      <w:pPr>
        <w:rPr>
          <w:szCs w:val="24"/>
        </w:rPr>
      </w:pPr>
    </w:p>
    <w:p w14:paraId="6F845081" w14:textId="32E69A0F" w:rsidR="00C55540" w:rsidRPr="00ED1007" w:rsidRDefault="00C55540" w:rsidP="0036007A">
      <w:pPr>
        <w:numPr>
          <w:ilvl w:val="0"/>
          <w:numId w:val="16"/>
        </w:numPr>
        <w:jc w:val="both"/>
        <w:rPr>
          <w:szCs w:val="24"/>
        </w:rPr>
      </w:pPr>
      <w:r w:rsidRPr="00ED1007">
        <w:rPr>
          <w:szCs w:val="24"/>
        </w:rPr>
        <w:t xml:space="preserve">There are no direct equalities implications arising from this report. </w:t>
      </w:r>
    </w:p>
    <w:p w14:paraId="270E4104" w14:textId="72B279C9" w:rsidR="00C55540" w:rsidRPr="00ED1007" w:rsidRDefault="00C55540" w:rsidP="00C55540">
      <w:pPr>
        <w:pStyle w:val="ListParagraph"/>
        <w:numPr>
          <w:ilvl w:val="0"/>
          <w:numId w:val="16"/>
        </w:numPr>
        <w:rPr>
          <w:sz w:val="24"/>
          <w:szCs w:val="24"/>
          <w:lang w:val="en-US"/>
        </w:rPr>
      </w:pPr>
      <w:r w:rsidRPr="00ED1007">
        <w:rPr>
          <w:sz w:val="24"/>
          <w:szCs w:val="24"/>
          <w:lang w:val="en-US"/>
        </w:rPr>
        <w:t xml:space="preserve"> </w:t>
      </w:r>
    </w:p>
    <w:p w14:paraId="76711BAA" w14:textId="77777777" w:rsidR="00B437CB" w:rsidRDefault="00B437CB" w:rsidP="00912904">
      <w:pPr>
        <w:pStyle w:val="Heading2"/>
      </w:pPr>
    </w:p>
    <w:p w14:paraId="11BF41CC" w14:textId="43F70469" w:rsidR="002A2389" w:rsidRPr="00ED1007" w:rsidRDefault="002A2389" w:rsidP="00912904">
      <w:pPr>
        <w:pStyle w:val="Heading2"/>
      </w:pPr>
      <w:r w:rsidRPr="00ED1007">
        <w:lastRenderedPageBreak/>
        <w:t>Section 3 - Statutory Officer Clearance</w:t>
      </w:r>
    </w:p>
    <w:p w14:paraId="077143F8" w14:textId="77777777" w:rsidR="002A2389" w:rsidRPr="00ED1007" w:rsidRDefault="002A2389" w:rsidP="008D1750">
      <w:pPr>
        <w:keepNext/>
        <w:rPr>
          <w:rFonts w:cs="Arial"/>
        </w:rPr>
      </w:pPr>
    </w:p>
    <w:p w14:paraId="1F493ADE" w14:textId="444F5B1E" w:rsidR="00912904" w:rsidRPr="00ED1007" w:rsidRDefault="00912904" w:rsidP="00912904">
      <w:pPr>
        <w:rPr>
          <w:sz w:val="28"/>
        </w:rPr>
      </w:pPr>
      <w:r w:rsidRPr="00ED1007">
        <w:rPr>
          <w:b/>
          <w:sz w:val="28"/>
        </w:rPr>
        <w:t xml:space="preserve">Statutory Officer:  </w:t>
      </w:r>
      <w:r w:rsidR="003F01D0">
        <w:rPr>
          <w:b/>
          <w:sz w:val="28"/>
        </w:rPr>
        <w:t xml:space="preserve">Dawn Calvert </w:t>
      </w:r>
    </w:p>
    <w:p w14:paraId="57640BD9" w14:textId="1B3D01B2" w:rsidR="00912904" w:rsidRPr="00ED1007" w:rsidRDefault="00912904" w:rsidP="00912904">
      <w:r w:rsidRPr="00ED1007">
        <w:t>Signed by the Chief Financial Officer</w:t>
      </w:r>
    </w:p>
    <w:p w14:paraId="5745A2E3" w14:textId="3BE123E3" w:rsidR="00912904" w:rsidRPr="00ED1007" w:rsidRDefault="00912904" w:rsidP="003F01D0">
      <w:pPr>
        <w:tabs>
          <w:tab w:val="left" w:pos="1520"/>
        </w:tabs>
        <w:spacing w:after="480"/>
        <w:rPr>
          <w:sz w:val="28"/>
        </w:rPr>
      </w:pPr>
      <w:r w:rsidRPr="00ED1007">
        <w:rPr>
          <w:b/>
          <w:sz w:val="28"/>
        </w:rPr>
        <w:t xml:space="preserve">Date: </w:t>
      </w:r>
      <w:r w:rsidR="003F01D0">
        <w:rPr>
          <w:b/>
          <w:sz w:val="28"/>
        </w:rPr>
        <w:t>27/09/2022</w:t>
      </w:r>
    </w:p>
    <w:p w14:paraId="2586CC50" w14:textId="042F3205" w:rsidR="00912904" w:rsidRPr="00ED1007" w:rsidRDefault="00912904" w:rsidP="00912904">
      <w:pPr>
        <w:rPr>
          <w:sz w:val="28"/>
        </w:rPr>
      </w:pPr>
      <w:r w:rsidRPr="00ED1007">
        <w:rPr>
          <w:b/>
          <w:sz w:val="28"/>
        </w:rPr>
        <w:t xml:space="preserve">Statutory Officer:  </w:t>
      </w:r>
      <w:r w:rsidR="006E48DE">
        <w:rPr>
          <w:b/>
          <w:sz w:val="28"/>
        </w:rPr>
        <w:t>Sharon Clarke</w:t>
      </w:r>
    </w:p>
    <w:p w14:paraId="3F58D77A" w14:textId="16A5F915" w:rsidR="00912904" w:rsidRPr="00ED1007" w:rsidRDefault="00912904" w:rsidP="00912904">
      <w:r w:rsidRPr="00ED1007">
        <w:t>Signed on behalf of the Monitoring Officer</w:t>
      </w:r>
    </w:p>
    <w:p w14:paraId="61F8C7E6" w14:textId="58EB6EF4" w:rsidR="00912904" w:rsidRPr="00ED1007" w:rsidRDefault="00912904" w:rsidP="005740D4">
      <w:pPr>
        <w:tabs>
          <w:tab w:val="left" w:pos="1550"/>
        </w:tabs>
        <w:spacing w:after="480"/>
        <w:rPr>
          <w:sz w:val="28"/>
        </w:rPr>
      </w:pPr>
      <w:r w:rsidRPr="00ED1007">
        <w:rPr>
          <w:b/>
          <w:sz w:val="28"/>
        </w:rPr>
        <w:t>Date</w:t>
      </w:r>
      <w:r w:rsidR="004D6347" w:rsidRPr="00ED1007">
        <w:rPr>
          <w:b/>
          <w:sz w:val="28"/>
        </w:rPr>
        <w:t xml:space="preserve">: </w:t>
      </w:r>
      <w:r w:rsidR="001C45FF">
        <w:rPr>
          <w:b/>
          <w:sz w:val="28"/>
        </w:rPr>
        <w:t>22</w:t>
      </w:r>
      <w:r w:rsidR="006E48DE">
        <w:rPr>
          <w:b/>
          <w:sz w:val="28"/>
        </w:rPr>
        <w:t>/</w:t>
      </w:r>
      <w:r w:rsidR="001C45FF">
        <w:rPr>
          <w:b/>
          <w:sz w:val="28"/>
        </w:rPr>
        <w:t>09</w:t>
      </w:r>
      <w:r w:rsidR="006E48DE">
        <w:rPr>
          <w:b/>
          <w:sz w:val="28"/>
        </w:rPr>
        <w:t>/2022</w:t>
      </w:r>
    </w:p>
    <w:p w14:paraId="52D95F67" w14:textId="786656E7" w:rsidR="009F30CC" w:rsidRPr="00ED1007" w:rsidRDefault="004A4A1D" w:rsidP="00912904">
      <w:pPr>
        <w:rPr>
          <w:b/>
          <w:sz w:val="28"/>
        </w:rPr>
      </w:pPr>
      <w:r w:rsidRPr="00ED1007">
        <w:rPr>
          <w:b/>
          <w:sz w:val="28"/>
        </w:rPr>
        <w:t>Chief</w:t>
      </w:r>
      <w:r w:rsidR="00912904" w:rsidRPr="00ED1007">
        <w:rPr>
          <w:b/>
          <w:sz w:val="28"/>
        </w:rPr>
        <w:t xml:space="preserve"> Officer:  </w:t>
      </w:r>
      <w:r w:rsidR="003F01D0">
        <w:rPr>
          <w:b/>
          <w:sz w:val="28"/>
        </w:rPr>
        <w:t>Dawn Calvert</w:t>
      </w:r>
    </w:p>
    <w:p w14:paraId="12E4D11B" w14:textId="21A8791E" w:rsidR="00912904" w:rsidRPr="00ED1007" w:rsidRDefault="00365D29" w:rsidP="00912904">
      <w:r w:rsidRPr="00ED1007">
        <w:t>Signed</w:t>
      </w:r>
      <w:r w:rsidR="00912904" w:rsidRPr="00ED1007">
        <w:t xml:space="preserve"> </w:t>
      </w:r>
      <w:r w:rsidR="00581AB1" w:rsidRPr="00ED1007">
        <w:t>on behalf of</w:t>
      </w:r>
      <w:r w:rsidR="00912904" w:rsidRPr="00ED1007">
        <w:t xml:space="preserve"> the C</w:t>
      </w:r>
      <w:r w:rsidR="001C45FF">
        <w:t>hief Executive</w:t>
      </w:r>
    </w:p>
    <w:p w14:paraId="21482980" w14:textId="753AD4CB" w:rsidR="00912904" w:rsidRPr="00ED1007" w:rsidRDefault="00912904" w:rsidP="00912904">
      <w:pPr>
        <w:spacing w:after="480"/>
        <w:rPr>
          <w:sz w:val="28"/>
        </w:rPr>
      </w:pPr>
      <w:r w:rsidRPr="00ED1007">
        <w:rPr>
          <w:b/>
          <w:sz w:val="28"/>
        </w:rPr>
        <w:t xml:space="preserve">Date:  </w:t>
      </w:r>
      <w:r w:rsidR="003F01D0">
        <w:rPr>
          <w:b/>
          <w:sz w:val="28"/>
        </w:rPr>
        <w:t>27/09/2022</w:t>
      </w:r>
    </w:p>
    <w:p w14:paraId="686CE5D8" w14:textId="77777777" w:rsidR="00912904" w:rsidRPr="00ED1007" w:rsidRDefault="00912904" w:rsidP="00912904">
      <w:pPr>
        <w:pStyle w:val="Heading2"/>
        <w:spacing w:after="240"/>
      </w:pPr>
      <w:r w:rsidRPr="00ED1007">
        <w:t>Mandatory Checks</w:t>
      </w:r>
    </w:p>
    <w:p w14:paraId="71FBC41D" w14:textId="7581A8CD" w:rsidR="00912904" w:rsidRPr="00B437CB" w:rsidRDefault="00912904" w:rsidP="00C55540">
      <w:pPr>
        <w:pStyle w:val="Heading3"/>
        <w:ind w:left="0" w:firstLine="0"/>
        <w:rPr>
          <w:b w:val="0"/>
          <w:bCs w:val="0"/>
          <w:i/>
          <w:color w:val="FF0000"/>
          <w:szCs w:val="24"/>
        </w:rPr>
      </w:pPr>
      <w:r w:rsidRPr="00ED1007">
        <w:rPr>
          <w:sz w:val="28"/>
        </w:rPr>
        <w:t xml:space="preserve">Ward Councillors notified:  </w:t>
      </w:r>
      <w:r w:rsidRPr="00B437CB">
        <w:rPr>
          <w:b w:val="0"/>
          <w:bCs w:val="0"/>
          <w:sz w:val="28"/>
        </w:rPr>
        <w:t>N</w:t>
      </w:r>
      <w:r w:rsidR="00F6771C" w:rsidRPr="00B437CB">
        <w:rPr>
          <w:b w:val="0"/>
          <w:bCs w:val="0"/>
          <w:sz w:val="28"/>
        </w:rPr>
        <w:t>ot Applicable</w:t>
      </w:r>
      <w:r w:rsidRPr="00B437CB">
        <w:rPr>
          <w:b w:val="0"/>
          <w:bCs w:val="0"/>
          <w:i/>
          <w:color w:val="FF0000"/>
          <w:szCs w:val="24"/>
        </w:rPr>
        <w:t xml:space="preserve"> </w:t>
      </w:r>
    </w:p>
    <w:p w14:paraId="629F8205" w14:textId="77777777" w:rsidR="002A2389" w:rsidRPr="00ED1007" w:rsidRDefault="002A2389" w:rsidP="00912904">
      <w:pPr>
        <w:pStyle w:val="Heading2"/>
        <w:keepNext/>
        <w:spacing w:after="240"/>
      </w:pPr>
      <w:r w:rsidRPr="00ED1007">
        <w:t>Section 4 - Contact Details and Background Papers</w:t>
      </w:r>
    </w:p>
    <w:p w14:paraId="373FA8D5" w14:textId="24AB96FD" w:rsidR="00C55540" w:rsidRPr="00ED1007" w:rsidRDefault="002A2389" w:rsidP="00C55540">
      <w:pPr>
        <w:pStyle w:val="Infotext"/>
        <w:rPr>
          <w:sz w:val="24"/>
          <w:szCs w:val="24"/>
        </w:rPr>
      </w:pPr>
      <w:r w:rsidRPr="00ED1007">
        <w:rPr>
          <w:b/>
        </w:rPr>
        <w:t>Contact:</w:t>
      </w:r>
      <w:r w:rsidRPr="00ED1007">
        <w:t xml:space="preserve">  </w:t>
      </w:r>
      <w:r w:rsidR="00C55540" w:rsidRPr="00ED1007">
        <w:rPr>
          <w:sz w:val="24"/>
          <w:szCs w:val="24"/>
        </w:rPr>
        <w:t xml:space="preserve">Jeremy Randall – Interim Pensions </w:t>
      </w:r>
      <w:r w:rsidR="00CE039D" w:rsidRPr="00ED1007">
        <w:rPr>
          <w:sz w:val="24"/>
          <w:szCs w:val="24"/>
        </w:rPr>
        <w:t>Manager</w:t>
      </w:r>
    </w:p>
    <w:p w14:paraId="1C4BF2D4" w14:textId="65CC335C" w:rsidR="002A2389" w:rsidRPr="00ED1007" w:rsidRDefault="00C55540" w:rsidP="00C55540">
      <w:pPr>
        <w:pStyle w:val="Infotext"/>
        <w:rPr>
          <w:rStyle w:val="Hyperlink"/>
          <w:sz w:val="24"/>
          <w:szCs w:val="24"/>
        </w:rPr>
      </w:pPr>
      <w:r w:rsidRPr="00ED1007">
        <w:rPr>
          <w:sz w:val="24"/>
          <w:szCs w:val="24"/>
        </w:rPr>
        <w:t xml:space="preserve">Email: </w:t>
      </w:r>
      <w:hyperlink r:id="rId8" w:history="1">
        <w:r w:rsidRPr="00ED1007">
          <w:rPr>
            <w:rStyle w:val="Hyperlink"/>
            <w:sz w:val="24"/>
            <w:szCs w:val="24"/>
          </w:rPr>
          <w:t>Jeremy.randall@harrow.gov.uk</w:t>
        </w:r>
      </w:hyperlink>
    </w:p>
    <w:p w14:paraId="65DB4D40" w14:textId="2D7010B6" w:rsidR="00CE039D" w:rsidRPr="00ED1007" w:rsidRDefault="00CE039D" w:rsidP="00C55540">
      <w:pPr>
        <w:pStyle w:val="Infotext"/>
      </w:pPr>
      <w:r w:rsidRPr="00ED1007">
        <w:rPr>
          <w:rStyle w:val="Hyperlink"/>
          <w:color w:val="auto"/>
          <w:sz w:val="24"/>
          <w:szCs w:val="24"/>
          <w:u w:val="none"/>
        </w:rPr>
        <w:t>Telephone: 020 8736 6552</w:t>
      </w:r>
    </w:p>
    <w:p w14:paraId="695B009D" w14:textId="1E187BE9" w:rsidR="002A2389" w:rsidRDefault="002A2389" w:rsidP="00C55540">
      <w:pPr>
        <w:pStyle w:val="Infotext"/>
        <w:spacing w:before="360"/>
      </w:pPr>
      <w:r w:rsidRPr="00ED1007">
        <w:rPr>
          <w:b/>
        </w:rPr>
        <w:t>Background Papers</w:t>
      </w:r>
      <w:r w:rsidRPr="00ED1007">
        <w:t xml:space="preserve">:  </w:t>
      </w:r>
      <w:r w:rsidR="00C55540" w:rsidRPr="00ED1007">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60AA4"/>
    <w:multiLevelType w:val="hybridMultilevel"/>
    <w:tmpl w:val="CB728E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49E31D5"/>
    <w:multiLevelType w:val="hybridMultilevel"/>
    <w:tmpl w:val="E7AAE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32052"/>
    <w:multiLevelType w:val="hybridMultilevel"/>
    <w:tmpl w:val="4C3E49F0"/>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E02E1"/>
    <w:multiLevelType w:val="hybridMultilevel"/>
    <w:tmpl w:val="8AA2D900"/>
    <w:lvl w:ilvl="0" w:tplc="0944D776">
      <w:start w:val="1"/>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1"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9"/>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6"/>
  </w:num>
  <w:num w:numId="9">
    <w:abstractNumId w:val="5"/>
  </w:num>
  <w:num w:numId="10">
    <w:abstractNumId w:val="18"/>
  </w:num>
  <w:num w:numId="11">
    <w:abstractNumId w:val="24"/>
  </w:num>
  <w:num w:numId="12">
    <w:abstractNumId w:val="16"/>
  </w:num>
  <w:num w:numId="13">
    <w:abstractNumId w:val="4"/>
  </w:num>
  <w:num w:numId="14">
    <w:abstractNumId w:val="7"/>
  </w:num>
  <w:num w:numId="15">
    <w:abstractNumId w:val="13"/>
  </w:num>
  <w:num w:numId="16">
    <w:abstractNumId w:val="12"/>
  </w:num>
  <w:num w:numId="17">
    <w:abstractNumId w:val="1"/>
  </w:num>
  <w:num w:numId="18">
    <w:abstractNumId w:val="9"/>
  </w:num>
  <w:num w:numId="19">
    <w:abstractNumId w:val="11"/>
  </w:num>
  <w:num w:numId="20">
    <w:abstractNumId w:val="23"/>
  </w:num>
  <w:num w:numId="21">
    <w:abstractNumId w:val="1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2"/>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34EE1"/>
    <w:rsid w:val="00057F10"/>
    <w:rsid w:val="000633A2"/>
    <w:rsid w:val="00070F70"/>
    <w:rsid w:val="00071EB4"/>
    <w:rsid w:val="00077298"/>
    <w:rsid w:val="000A58A1"/>
    <w:rsid w:val="000A6659"/>
    <w:rsid w:val="000B0E6F"/>
    <w:rsid w:val="000B6DBB"/>
    <w:rsid w:val="000D2BF2"/>
    <w:rsid w:val="000D5870"/>
    <w:rsid w:val="000F65C0"/>
    <w:rsid w:val="00110A2F"/>
    <w:rsid w:val="001167DE"/>
    <w:rsid w:val="00133785"/>
    <w:rsid w:val="00182AA1"/>
    <w:rsid w:val="001939BA"/>
    <w:rsid w:val="001A472C"/>
    <w:rsid w:val="001A6EB0"/>
    <w:rsid w:val="001B441D"/>
    <w:rsid w:val="001C4374"/>
    <w:rsid w:val="001C45FF"/>
    <w:rsid w:val="001C5225"/>
    <w:rsid w:val="001C6F48"/>
    <w:rsid w:val="001E0219"/>
    <w:rsid w:val="001F6722"/>
    <w:rsid w:val="00213BE7"/>
    <w:rsid w:val="00231A1D"/>
    <w:rsid w:val="00244120"/>
    <w:rsid w:val="00251F95"/>
    <w:rsid w:val="00260000"/>
    <w:rsid w:val="00290AFE"/>
    <w:rsid w:val="00293F9F"/>
    <w:rsid w:val="002A2389"/>
    <w:rsid w:val="002A2C3A"/>
    <w:rsid w:val="002A5BDC"/>
    <w:rsid w:val="002C08E2"/>
    <w:rsid w:val="002C1794"/>
    <w:rsid w:val="002D2FC5"/>
    <w:rsid w:val="002E6637"/>
    <w:rsid w:val="002E77E3"/>
    <w:rsid w:val="003315E4"/>
    <w:rsid w:val="00332947"/>
    <w:rsid w:val="00333EB4"/>
    <w:rsid w:val="00345915"/>
    <w:rsid w:val="0035176F"/>
    <w:rsid w:val="00365D29"/>
    <w:rsid w:val="003706EA"/>
    <w:rsid w:val="00374F22"/>
    <w:rsid w:val="003D2FFE"/>
    <w:rsid w:val="003F01D0"/>
    <w:rsid w:val="00400032"/>
    <w:rsid w:val="0042394B"/>
    <w:rsid w:val="0046775A"/>
    <w:rsid w:val="00473B08"/>
    <w:rsid w:val="00474B5F"/>
    <w:rsid w:val="00481F2C"/>
    <w:rsid w:val="0049221F"/>
    <w:rsid w:val="004A3CE6"/>
    <w:rsid w:val="004A4A1D"/>
    <w:rsid w:val="004B2C9D"/>
    <w:rsid w:val="004B4A47"/>
    <w:rsid w:val="004B5D7B"/>
    <w:rsid w:val="004D6347"/>
    <w:rsid w:val="004E667D"/>
    <w:rsid w:val="004E6AF9"/>
    <w:rsid w:val="005031DF"/>
    <w:rsid w:val="00540AA5"/>
    <w:rsid w:val="00542378"/>
    <w:rsid w:val="00567D42"/>
    <w:rsid w:val="005740D4"/>
    <w:rsid w:val="00581AB1"/>
    <w:rsid w:val="0059168C"/>
    <w:rsid w:val="00597314"/>
    <w:rsid w:val="005A61AF"/>
    <w:rsid w:val="005C19FD"/>
    <w:rsid w:val="005D0886"/>
    <w:rsid w:val="005E384D"/>
    <w:rsid w:val="005F2181"/>
    <w:rsid w:val="005F724B"/>
    <w:rsid w:val="00625DFF"/>
    <w:rsid w:val="0063072B"/>
    <w:rsid w:val="0064241B"/>
    <w:rsid w:val="00662891"/>
    <w:rsid w:val="006628B7"/>
    <w:rsid w:val="00675FCB"/>
    <w:rsid w:val="006809C4"/>
    <w:rsid w:val="006B1C6D"/>
    <w:rsid w:val="006B3942"/>
    <w:rsid w:val="006B5B52"/>
    <w:rsid w:val="006C3914"/>
    <w:rsid w:val="006D3648"/>
    <w:rsid w:val="006E25E2"/>
    <w:rsid w:val="006E48DE"/>
    <w:rsid w:val="0074184E"/>
    <w:rsid w:val="00743829"/>
    <w:rsid w:val="0075166A"/>
    <w:rsid w:val="00751DF2"/>
    <w:rsid w:val="00755F8D"/>
    <w:rsid w:val="00777E2D"/>
    <w:rsid w:val="00796503"/>
    <w:rsid w:val="007B524B"/>
    <w:rsid w:val="007D2BDA"/>
    <w:rsid w:val="007D56C8"/>
    <w:rsid w:val="007E3934"/>
    <w:rsid w:val="007E7303"/>
    <w:rsid w:val="007F5656"/>
    <w:rsid w:val="008212A0"/>
    <w:rsid w:val="00821C13"/>
    <w:rsid w:val="00837F53"/>
    <w:rsid w:val="00845600"/>
    <w:rsid w:val="008D1750"/>
    <w:rsid w:val="008D7800"/>
    <w:rsid w:val="008E2910"/>
    <w:rsid w:val="008E4913"/>
    <w:rsid w:val="008E6C0C"/>
    <w:rsid w:val="00900464"/>
    <w:rsid w:val="0090100E"/>
    <w:rsid w:val="00912904"/>
    <w:rsid w:val="00933709"/>
    <w:rsid w:val="0093767E"/>
    <w:rsid w:val="00972A02"/>
    <w:rsid w:val="00976004"/>
    <w:rsid w:val="009824C9"/>
    <w:rsid w:val="0099517C"/>
    <w:rsid w:val="009A0937"/>
    <w:rsid w:val="009A42BE"/>
    <w:rsid w:val="009B2ECD"/>
    <w:rsid w:val="009B7914"/>
    <w:rsid w:val="009D1F7E"/>
    <w:rsid w:val="009F30CC"/>
    <w:rsid w:val="009F430B"/>
    <w:rsid w:val="00A160B2"/>
    <w:rsid w:val="00A34E82"/>
    <w:rsid w:val="00A360D6"/>
    <w:rsid w:val="00A42A08"/>
    <w:rsid w:val="00A5339D"/>
    <w:rsid w:val="00A566E7"/>
    <w:rsid w:val="00A644A0"/>
    <w:rsid w:val="00A940D3"/>
    <w:rsid w:val="00A96FCA"/>
    <w:rsid w:val="00AA4BE8"/>
    <w:rsid w:val="00AB54A5"/>
    <w:rsid w:val="00AC0AAB"/>
    <w:rsid w:val="00AC7BA9"/>
    <w:rsid w:val="00AE19AC"/>
    <w:rsid w:val="00AF03DC"/>
    <w:rsid w:val="00AF5A3E"/>
    <w:rsid w:val="00B0425E"/>
    <w:rsid w:val="00B437CB"/>
    <w:rsid w:val="00B67880"/>
    <w:rsid w:val="00B900E2"/>
    <w:rsid w:val="00B9118E"/>
    <w:rsid w:val="00BA423E"/>
    <w:rsid w:val="00BD02E1"/>
    <w:rsid w:val="00BD6115"/>
    <w:rsid w:val="00BD684A"/>
    <w:rsid w:val="00BF6C03"/>
    <w:rsid w:val="00C32DAE"/>
    <w:rsid w:val="00C34564"/>
    <w:rsid w:val="00C40270"/>
    <w:rsid w:val="00C40E24"/>
    <w:rsid w:val="00C55540"/>
    <w:rsid w:val="00C61B80"/>
    <w:rsid w:val="00C92D9A"/>
    <w:rsid w:val="00C96EF5"/>
    <w:rsid w:val="00CA5EB2"/>
    <w:rsid w:val="00CB4353"/>
    <w:rsid w:val="00CE039D"/>
    <w:rsid w:val="00CE4DD2"/>
    <w:rsid w:val="00D25064"/>
    <w:rsid w:val="00D32B51"/>
    <w:rsid w:val="00D32C6E"/>
    <w:rsid w:val="00D34668"/>
    <w:rsid w:val="00D365CC"/>
    <w:rsid w:val="00D3740E"/>
    <w:rsid w:val="00D40335"/>
    <w:rsid w:val="00D40976"/>
    <w:rsid w:val="00D82F57"/>
    <w:rsid w:val="00D841A5"/>
    <w:rsid w:val="00D914D2"/>
    <w:rsid w:val="00DA25DB"/>
    <w:rsid w:val="00DB0791"/>
    <w:rsid w:val="00DC2881"/>
    <w:rsid w:val="00DD4251"/>
    <w:rsid w:val="00E02B50"/>
    <w:rsid w:val="00E03F11"/>
    <w:rsid w:val="00E06DC8"/>
    <w:rsid w:val="00E220B5"/>
    <w:rsid w:val="00E33D93"/>
    <w:rsid w:val="00E609EF"/>
    <w:rsid w:val="00E8515B"/>
    <w:rsid w:val="00E90AFF"/>
    <w:rsid w:val="00EC05E5"/>
    <w:rsid w:val="00ED1007"/>
    <w:rsid w:val="00EF2F91"/>
    <w:rsid w:val="00F1403C"/>
    <w:rsid w:val="00F32687"/>
    <w:rsid w:val="00F33EE3"/>
    <w:rsid w:val="00F4213B"/>
    <w:rsid w:val="00F45A59"/>
    <w:rsid w:val="00F6771C"/>
    <w:rsid w:val="00F77A86"/>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table" w:styleId="TableGrid">
    <w:name w:val="Table Grid"/>
    <w:basedOn w:val="TableNormal"/>
    <w:rsid w:val="00751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85850">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8119</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3</cp:revision>
  <cp:lastPrinted>2022-09-28T10:09:00Z</cp:lastPrinted>
  <dcterms:created xsi:type="dcterms:W3CDTF">2022-09-28T10:09:00Z</dcterms:created>
  <dcterms:modified xsi:type="dcterms:W3CDTF">2022-09-28T11:10:00Z</dcterms:modified>
</cp:coreProperties>
</file>